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76E8DD" w14:textId="77777777" w:rsidR="00310096" w:rsidRDefault="00000000">
      <w:pPr>
        <w:pStyle w:val="Corpsdetexte"/>
        <w:ind w:left="165"/>
        <w:rPr>
          <w:rFonts w:ascii="Times New Roman"/>
          <w:sz w:val="20"/>
        </w:rPr>
      </w:pPr>
      <w:r>
        <w:rPr>
          <w:rFonts w:ascii="Times New Roman"/>
          <w:noProof/>
          <w:sz w:val="20"/>
        </w:rPr>
        <mc:AlternateContent>
          <mc:Choice Requires="wps">
            <w:drawing>
              <wp:anchor distT="0" distB="0" distL="0" distR="0" simplePos="0" relativeHeight="15729152" behindDoc="0" locked="0" layoutInCell="1" allowOverlap="1" wp14:anchorId="33F3DD8F" wp14:editId="2D87803B">
                <wp:simplePos x="0" y="0"/>
                <wp:positionH relativeFrom="page">
                  <wp:posOffset>270575</wp:posOffset>
                </wp:positionH>
                <wp:positionV relativeFrom="page">
                  <wp:posOffset>1114363</wp:posOffset>
                </wp:positionV>
                <wp:extent cx="146050" cy="92100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32EF548"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21.305176pt;margin-top:87.745193pt;width:11.5pt;height:725.2pt;mso-position-horizontal-relative:page;mso-position-vertical-relative:page;z-index:15729152" type="#_x0000_t202" id="docshape1"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r>
        <w:rPr>
          <w:rFonts w:ascii="Times New Roman"/>
          <w:noProof/>
          <w:sz w:val="20"/>
        </w:rPr>
        <w:drawing>
          <wp:inline distT="0" distB="0" distL="0" distR="0" wp14:anchorId="424F23A3" wp14:editId="7116F3A3">
            <wp:extent cx="1527695" cy="42062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27695" cy="420624"/>
                    </a:xfrm>
                    <a:prstGeom prst="rect">
                      <a:avLst/>
                    </a:prstGeom>
                  </pic:spPr>
                </pic:pic>
              </a:graphicData>
            </a:graphic>
          </wp:inline>
        </w:drawing>
      </w:r>
    </w:p>
    <w:p w14:paraId="23D02F44" w14:textId="77777777" w:rsidR="00310096" w:rsidRDefault="00000000">
      <w:pPr>
        <w:spacing w:before="19"/>
        <w:ind w:right="163"/>
        <w:jc w:val="right"/>
        <w:rPr>
          <w:sz w:val="18"/>
        </w:rPr>
      </w:pPr>
      <w:r>
        <w:rPr>
          <w:noProof/>
          <w:sz w:val="18"/>
        </w:rPr>
        <mc:AlternateContent>
          <mc:Choice Requires="wps">
            <w:drawing>
              <wp:anchor distT="0" distB="0" distL="0" distR="0" simplePos="0" relativeHeight="487587840" behindDoc="1" locked="0" layoutInCell="1" allowOverlap="1" wp14:anchorId="188DA2BD" wp14:editId="0CA8DD24">
                <wp:simplePos x="0" y="0"/>
                <wp:positionH relativeFrom="page">
                  <wp:posOffset>896416</wp:posOffset>
                </wp:positionH>
                <wp:positionV relativeFrom="paragraph">
                  <wp:posOffset>156082</wp:posOffset>
                </wp:positionV>
                <wp:extent cx="576961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9525"/>
                        </a:xfrm>
                        <a:custGeom>
                          <a:avLst/>
                          <a:gdLst/>
                          <a:ahLst/>
                          <a:cxnLst/>
                          <a:rect l="l" t="t" r="r" b="b"/>
                          <a:pathLst>
                            <a:path w="5769610" h="9525">
                              <a:moveTo>
                                <a:pt x="5769229" y="0"/>
                              </a:moveTo>
                              <a:lnTo>
                                <a:pt x="0" y="0"/>
                              </a:lnTo>
                              <a:lnTo>
                                <a:pt x="0" y="9144"/>
                              </a:lnTo>
                              <a:lnTo>
                                <a:pt x="5769229" y="9144"/>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84pt;margin-top:12.29pt;width:454.27pt;height:.72pt;mso-position-horizontal-relative:page;mso-position-vertical-relative:paragraph;z-index:-15728640;mso-wrap-distance-left:0;mso-wrap-distance-right:0" id="docshape2" filled="true" fillcolor="#585858" stroked="false">
                <v:fill type="solid"/>
                <w10:wrap type="topAndBottom"/>
              </v:rect>
            </w:pict>
          </mc:Fallback>
        </mc:AlternateContent>
      </w:r>
      <w:r>
        <w:rPr>
          <w:color w:val="585858"/>
          <w:sz w:val="18"/>
        </w:rPr>
        <w:t>DIVISION</w:t>
      </w:r>
      <w:r>
        <w:rPr>
          <w:color w:val="585858"/>
          <w:spacing w:val="-1"/>
          <w:sz w:val="18"/>
        </w:rPr>
        <w:t xml:space="preserve"> </w:t>
      </w:r>
      <w:r>
        <w:rPr>
          <w:color w:val="585858"/>
          <w:spacing w:val="-2"/>
          <w:sz w:val="18"/>
        </w:rPr>
        <w:t>D’OPPOSITION</w:t>
      </w:r>
    </w:p>
    <w:p w14:paraId="04B21A66" w14:textId="77777777" w:rsidR="00310096" w:rsidRDefault="00310096">
      <w:pPr>
        <w:pStyle w:val="Corpsdetexte"/>
        <w:spacing w:before="241"/>
      </w:pPr>
    </w:p>
    <w:p w14:paraId="3FAB749A" w14:textId="77777777" w:rsidR="00310096" w:rsidRDefault="00000000">
      <w:pPr>
        <w:pStyle w:val="Titre2"/>
        <w:spacing w:before="1"/>
        <w:ind w:left="1841" w:right="1837"/>
        <w:jc w:val="center"/>
      </w:pPr>
      <w:r>
        <w:t>Opposition</w:t>
      </w:r>
      <w:r>
        <w:rPr>
          <w:spacing w:val="-9"/>
        </w:rPr>
        <w:t xml:space="preserve"> </w:t>
      </w:r>
      <w:r>
        <w:t>NAlbanie</w:t>
      </w:r>
      <w:r>
        <w:rPr>
          <w:spacing w:val="-3"/>
        </w:rPr>
        <w:t xml:space="preserve"> </w:t>
      </w:r>
      <w:r>
        <w:t>B</w:t>
      </w:r>
      <w:r>
        <w:rPr>
          <w:spacing w:val="-4"/>
        </w:rPr>
        <w:t xml:space="preserve"> </w:t>
      </w:r>
      <w:r>
        <w:t>3</w:t>
      </w:r>
      <w:r>
        <w:rPr>
          <w:spacing w:val="-2"/>
        </w:rPr>
        <w:t xml:space="preserve"> </w:t>
      </w:r>
      <w:r>
        <w:t>197</w:t>
      </w:r>
      <w:r>
        <w:rPr>
          <w:spacing w:val="-5"/>
        </w:rPr>
        <w:t xml:space="preserve"> 725</w:t>
      </w:r>
    </w:p>
    <w:p w14:paraId="2FA4FE9B" w14:textId="77777777" w:rsidR="00310096" w:rsidRDefault="00310096">
      <w:pPr>
        <w:pStyle w:val="Corpsdetexte"/>
        <w:rPr>
          <w:rFonts w:ascii="Arial"/>
          <w:b/>
        </w:rPr>
      </w:pPr>
    </w:p>
    <w:p w14:paraId="67C83ECC" w14:textId="77777777" w:rsidR="00310096" w:rsidRDefault="00000000">
      <w:pPr>
        <w:ind w:left="165" w:right="160"/>
        <w:jc w:val="both"/>
      </w:pPr>
      <w:r>
        <w:rPr>
          <w:rFonts w:ascii="Arial" w:hAnsi="Arial"/>
          <w:b/>
        </w:rPr>
        <w:t>Guccio Gucci S.P.A.</w:t>
      </w:r>
      <w:r>
        <w:t xml:space="preserve">, Via Tornabuoni, 73/R, 50123 Firenze, Italie (opposante), représentée </w:t>
      </w:r>
      <w:r>
        <w:rPr>
          <w:rFonts w:ascii="Arial" w:hAnsi="Arial"/>
          <w:b/>
        </w:rPr>
        <w:t>par</w:t>
      </w:r>
      <w:r>
        <w:rPr>
          <w:rFonts w:ascii="Arial" w:hAnsi="Arial"/>
          <w:b/>
          <w:spacing w:val="-1"/>
        </w:rPr>
        <w:t xml:space="preserve"> </w:t>
      </w:r>
      <w:r>
        <w:rPr>
          <w:rFonts w:ascii="Arial" w:hAnsi="Arial"/>
          <w:b/>
        </w:rPr>
        <w:t>Santarelli</w:t>
      </w:r>
      <w:r>
        <w:rPr>
          <w:rFonts w:ascii="Arial" w:hAnsi="Arial"/>
          <w:b/>
          <w:spacing w:val="-3"/>
        </w:rPr>
        <w:t xml:space="preserve"> </w:t>
      </w:r>
      <w:r>
        <w:rPr>
          <w:rFonts w:ascii="Arial" w:hAnsi="Arial"/>
          <w:b/>
        </w:rPr>
        <w:t>(Société</w:t>
      </w:r>
      <w:r>
        <w:rPr>
          <w:rFonts w:ascii="Arial" w:hAnsi="Arial"/>
          <w:b/>
          <w:spacing w:val="-4"/>
        </w:rPr>
        <w:t xml:space="preserve"> </w:t>
      </w:r>
      <w:r>
        <w:rPr>
          <w:rFonts w:ascii="Arial" w:hAnsi="Arial"/>
          <w:b/>
        </w:rPr>
        <w:t>IPSIDE)</w:t>
      </w:r>
      <w:r>
        <w:t>,</w:t>
      </w:r>
      <w:r>
        <w:rPr>
          <w:spacing w:val="-3"/>
        </w:rPr>
        <w:t xml:space="preserve"> </w:t>
      </w:r>
      <w:r>
        <w:t>Tour</w:t>
      </w:r>
      <w:r>
        <w:rPr>
          <w:spacing w:val="-3"/>
        </w:rPr>
        <w:t xml:space="preserve"> </w:t>
      </w:r>
      <w:r>
        <w:t>Trinity</w:t>
      </w:r>
      <w:r>
        <w:rPr>
          <w:spacing w:val="-4"/>
        </w:rPr>
        <w:t xml:space="preserve"> </w:t>
      </w:r>
      <w:r>
        <w:t>1</w:t>
      </w:r>
      <w:r>
        <w:rPr>
          <w:spacing w:val="-2"/>
        </w:rPr>
        <w:t xml:space="preserve"> </w:t>
      </w:r>
      <w:r>
        <w:t>Bis,</w:t>
      </w:r>
      <w:r>
        <w:rPr>
          <w:spacing w:val="-1"/>
        </w:rPr>
        <w:t xml:space="preserve"> </w:t>
      </w:r>
      <w:r>
        <w:t>Place</w:t>
      </w:r>
      <w:r>
        <w:rPr>
          <w:spacing w:val="-2"/>
        </w:rPr>
        <w:t xml:space="preserve"> </w:t>
      </w:r>
      <w:r>
        <w:t>de</w:t>
      </w:r>
      <w:r>
        <w:rPr>
          <w:spacing w:val="-4"/>
        </w:rPr>
        <w:t xml:space="preserve"> </w:t>
      </w:r>
      <w:r>
        <w:t>la</w:t>
      </w:r>
      <w:r>
        <w:rPr>
          <w:spacing w:val="-2"/>
        </w:rPr>
        <w:t xml:space="preserve"> </w:t>
      </w:r>
      <w:r>
        <w:t>Défense,</w:t>
      </w:r>
      <w:r>
        <w:rPr>
          <w:spacing w:val="-1"/>
        </w:rPr>
        <w:t xml:space="preserve"> </w:t>
      </w:r>
      <w:r>
        <w:t>92400</w:t>
      </w:r>
      <w:r>
        <w:rPr>
          <w:spacing w:val="-2"/>
        </w:rPr>
        <w:t xml:space="preserve"> </w:t>
      </w:r>
      <w:r>
        <w:t>Courbevoie, France (mandataire agréé)</w:t>
      </w:r>
    </w:p>
    <w:p w14:paraId="081E04AF" w14:textId="77777777" w:rsidR="00310096" w:rsidRDefault="00000000">
      <w:pPr>
        <w:pStyle w:val="Corpsdetexte"/>
        <w:spacing w:before="251"/>
        <w:ind w:left="1837" w:right="1837"/>
        <w:jc w:val="center"/>
      </w:pPr>
      <w:r>
        <w:t>un</w:t>
      </w:r>
      <w:r>
        <w:rPr>
          <w:spacing w:val="-3"/>
        </w:rPr>
        <w:t xml:space="preserve"> </w:t>
      </w:r>
      <w:r>
        <w:t>g</w:t>
      </w:r>
      <w:r>
        <w:rPr>
          <w:spacing w:val="2"/>
        </w:rPr>
        <w:t xml:space="preserve"> </w:t>
      </w:r>
      <w:r>
        <w:t>a</w:t>
      </w:r>
      <w:r>
        <w:rPr>
          <w:spacing w:val="-2"/>
        </w:rPr>
        <w:t xml:space="preserve"> </w:t>
      </w:r>
      <w:r>
        <w:t>i ns</w:t>
      </w:r>
      <w:r>
        <w:rPr>
          <w:spacing w:val="-2"/>
        </w:rPr>
        <w:t xml:space="preserve"> </w:t>
      </w:r>
      <w:r>
        <w:rPr>
          <w:spacing w:val="-10"/>
        </w:rPr>
        <w:t>t</w:t>
      </w:r>
    </w:p>
    <w:p w14:paraId="02A6689F" w14:textId="77777777" w:rsidR="00310096" w:rsidRDefault="00310096">
      <w:pPr>
        <w:pStyle w:val="Corpsdetexte"/>
        <w:spacing w:before="1"/>
      </w:pPr>
    </w:p>
    <w:p w14:paraId="45085455" w14:textId="77777777" w:rsidR="00310096" w:rsidRDefault="00000000">
      <w:pPr>
        <w:ind w:left="165" w:right="158"/>
        <w:jc w:val="both"/>
      </w:pPr>
      <w:r>
        <w:rPr>
          <w:rFonts w:ascii="Arial" w:hAnsi="Arial"/>
          <w:b/>
        </w:rPr>
        <w:t>Wenzhou Li Shang Optical Co Ltd</w:t>
      </w:r>
      <w:r>
        <w:t xml:space="preserve">, 40 Shengyuan Road Lucheng — Industrial Zone, Wenzhou — Zhejiang, Chine (demanderesse), représentée par </w:t>
      </w:r>
      <w:r>
        <w:rPr>
          <w:rFonts w:ascii="Arial" w:hAnsi="Arial"/>
          <w:b/>
        </w:rPr>
        <w:t>Andrea Sirimarco</w:t>
      </w:r>
      <w:r>
        <w:t>, Calle Alcalá 121-1º, 28009 Madrid (Espagne) (représentant professionnel).</w:t>
      </w:r>
    </w:p>
    <w:p w14:paraId="6B98200A" w14:textId="77777777" w:rsidR="00310096" w:rsidRDefault="00310096">
      <w:pPr>
        <w:pStyle w:val="Corpsdetexte"/>
        <w:spacing w:before="1"/>
      </w:pPr>
    </w:p>
    <w:p w14:paraId="46120456" w14:textId="77777777" w:rsidR="00310096" w:rsidRDefault="00000000">
      <w:pPr>
        <w:pStyle w:val="Corpsdetexte"/>
        <w:ind w:left="165"/>
        <w:jc w:val="both"/>
      </w:pPr>
      <w:r>
        <w:t>Le</w:t>
      </w:r>
      <w:r>
        <w:rPr>
          <w:spacing w:val="-6"/>
        </w:rPr>
        <w:t xml:space="preserve"> </w:t>
      </w:r>
      <w:r>
        <w:t>27/06/2024,</w:t>
      </w:r>
      <w:r>
        <w:rPr>
          <w:spacing w:val="-6"/>
        </w:rPr>
        <w:t xml:space="preserve"> </w:t>
      </w:r>
      <w:r>
        <w:t>la</w:t>
      </w:r>
      <w:r>
        <w:rPr>
          <w:spacing w:val="-5"/>
        </w:rPr>
        <w:t xml:space="preserve"> </w:t>
      </w:r>
      <w:r>
        <w:t>division</w:t>
      </w:r>
      <w:r>
        <w:rPr>
          <w:spacing w:val="-5"/>
        </w:rPr>
        <w:t xml:space="preserve"> </w:t>
      </w:r>
      <w:r>
        <w:t>d’opposition</w:t>
      </w:r>
      <w:r>
        <w:rPr>
          <w:spacing w:val="-5"/>
        </w:rPr>
        <w:t xml:space="preserve"> </w:t>
      </w:r>
      <w:r>
        <w:t>rend</w:t>
      </w:r>
      <w:r>
        <w:rPr>
          <w:spacing w:val="-7"/>
        </w:rPr>
        <w:t xml:space="preserve"> </w:t>
      </w:r>
      <w:r>
        <w:t>la</w:t>
      </w:r>
      <w:r>
        <w:rPr>
          <w:spacing w:val="-5"/>
        </w:rPr>
        <w:t xml:space="preserve"> </w:t>
      </w:r>
      <w:r>
        <w:rPr>
          <w:spacing w:val="-2"/>
        </w:rPr>
        <w:t>présente</w:t>
      </w:r>
    </w:p>
    <w:p w14:paraId="3C3D35E1" w14:textId="77777777" w:rsidR="00310096" w:rsidRDefault="00310096">
      <w:pPr>
        <w:pStyle w:val="Corpsdetexte"/>
      </w:pPr>
    </w:p>
    <w:p w14:paraId="1348BC07" w14:textId="77777777" w:rsidR="00310096" w:rsidRDefault="00310096">
      <w:pPr>
        <w:pStyle w:val="Corpsdetexte"/>
      </w:pPr>
    </w:p>
    <w:p w14:paraId="6862105D" w14:textId="77777777" w:rsidR="00310096" w:rsidRDefault="00000000">
      <w:pPr>
        <w:pStyle w:val="Titre1"/>
        <w:ind w:left="1837" w:right="1837"/>
      </w:pPr>
      <w:r>
        <w:rPr>
          <w:spacing w:val="-2"/>
        </w:rPr>
        <w:t>DÉCISION:</w:t>
      </w:r>
    </w:p>
    <w:p w14:paraId="151AA5FE" w14:textId="77777777" w:rsidR="00310096" w:rsidRDefault="00310096">
      <w:pPr>
        <w:pStyle w:val="Corpsdetexte"/>
        <w:spacing w:before="44"/>
        <w:rPr>
          <w:rFonts w:ascii="Arial"/>
          <w:b/>
          <w:sz w:val="20"/>
        </w:rPr>
      </w:pPr>
    </w:p>
    <w:tbl>
      <w:tblPr>
        <w:tblStyle w:val="TableNormal"/>
        <w:tblW w:w="0" w:type="auto"/>
        <w:tblInd w:w="247" w:type="dxa"/>
        <w:tblLayout w:type="fixed"/>
        <w:tblLook w:val="01E0" w:firstRow="1" w:lastRow="1" w:firstColumn="1" w:lastColumn="1" w:noHBand="0" w:noVBand="0"/>
      </w:tblPr>
      <w:tblGrid>
        <w:gridCol w:w="337"/>
        <w:gridCol w:w="7434"/>
      </w:tblGrid>
      <w:tr w:rsidR="00310096" w14:paraId="46C6ED2E" w14:textId="77777777">
        <w:trPr>
          <w:trHeight w:val="246"/>
        </w:trPr>
        <w:tc>
          <w:tcPr>
            <w:tcW w:w="337" w:type="dxa"/>
          </w:tcPr>
          <w:p w14:paraId="3A5EAB75" w14:textId="77777777" w:rsidR="00310096" w:rsidRDefault="00000000">
            <w:pPr>
              <w:pStyle w:val="TableParagraph"/>
              <w:spacing w:line="227" w:lineRule="exact"/>
              <w:ind w:left="50"/>
              <w:rPr>
                <w:rFonts w:ascii="Arial"/>
                <w:b/>
              </w:rPr>
            </w:pPr>
            <w:r>
              <w:rPr>
                <w:rFonts w:ascii="Arial"/>
                <w:b/>
                <w:spacing w:val="-5"/>
              </w:rPr>
              <w:t>1.</w:t>
            </w:r>
          </w:p>
        </w:tc>
        <w:tc>
          <w:tcPr>
            <w:tcW w:w="7434" w:type="dxa"/>
          </w:tcPr>
          <w:p w14:paraId="5CE48B75" w14:textId="77777777" w:rsidR="00310096" w:rsidRDefault="00000000">
            <w:pPr>
              <w:pStyle w:val="TableParagraph"/>
              <w:spacing w:line="227" w:lineRule="exact"/>
              <w:ind w:left="108"/>
            </w:pPr>
            <w:r>
              <w:t>L’opposition</w:t>
            </w:r>
            <w:r>
              <w:rPr>
                <w:spacing w:val="-6"/>
              </w:rPr>
              <w:t xml:space="preserve"> </w:t>
            </w:r>
            <w:r>
              <w:t>no</w:t>
            </w:r>
            <w:r>
              <w:rPr>
                <w:spacing w:val="-4"/>
              </w:rPr>
              <w:t xml:space="preserve"> </w:t>
            </w:r>
            <w:r>
              <w:t>B</w:t>
            </w:r>
            <w:r>
              <w:rPr>
                <w:spacing w:val="-6"/>
              </w:rPr>
              <w:t xml:space="preserve"> </w:t>
            </w:r>
            <w:r>
              <w:t>3</w:t>
            </w:r>
            <w:r>
              <w:rPr>
                <w:spacing w:val="-3"/>
              </w:rPr>
              <w:t xml:space="preserve"> </w:t>
            </w:r>
            <w:r>
              <w:t>197</w:t>
            </w:r>
            <w:r>
              <w:rPr>
                <w:spacing w:val="-7"/>
              </w:rPr>
              <w:t xml:space="preserve"> </w:t>
            </w:r>
            <w:r>
              <w:t>725</w:t>
            </w:r>
            <w:r>
              <w:rPr>
                <w:spacing w:val="-4"/>
              </w:rPr>
              <w:t xml:space="preserve"> </w:t>
            </w:r>
            <w:r>
              <w:t>est</w:t>
            </w:r>
            <w:r>
              <w:rPr>
                <w:spacing w:val="-3"/>
              </w:rPr>
              <w:t xml:space="preserve"> </w:t>
            </w:r>
            <w:r>
              <w:t>accueillie</w:t>
            </w:r>
            <w:r>
              <w:rPr>
                <w:spacing w:val="-4"/>
              </w:rPr>
              <w:t xml:space="preserve"> </w:t>
            </w:r>
            <w:r>
              <w:t>pour</w:t>
            </w:r>
            <w:r>
              <w:rPr>
                <w:spacing w:val="-5"/>
              </w:rPr>
              <w:t xml:space="preserve"> </w:t>
            </w:r>
            <w:r>
              <w:t>tous</w:t>
            </w:r>
            <w:r>
              <w:rPr>
                <w:spacing w:val="-3"/>
              </w:rPr>
              <w:t xml:space="preserve"> </w:t>
            </w:r>
            <w:r>
              <w:t>les</w:t>
            </w:r>
            <w:r>
              <w:rPr>
                <w:spacing w:val="-3"/>
              </w:rPr>
              <w:t xml:space="preserve"> </w:t>
            </w:r>
            <w:r>
              <w:t>produits</w:t>
            </w:r>
            <w:r>
              <w:rPr>
                <w:spacing w:val="-5"/>
              </w:rPr>
              <w:t xml:space="preserve"> </w:t>
            </w:r>
            <w:r>
              <w:rPr>
                <w:spacing w:val="-2"/>
              </w:rPr>
              <w:t>contestés.</w:t>
            </w:r>
          </w:p>
        </w:tc>
      </w:tr>
    </w:tbl>
    <w:p w14:paraId="5885EA35" w14:textId="77777777" w:rsidR="00310096" w:rsidRDefault="00310096">
      <w:pPr>
        <w:pStyle w:val="Corpsdetexte"/>
        <w:spacing w:before="59"/>
        <w:rPr>
          <w:rFonts w:ascii="Arial"/>
          <w:b/>
          <w:sz w:val="20"/>
        </w:rPr>
      </w:pPr>
    </w:p>
    <w:tbl>
      <w:tblPr>
        <w:tblStyle w:val="TableNormal"/>
        <w:tblW w:w="0" w:type="auto"/>
        <w:tblInd w:w="247" w:type="dxa"/>
        <w:tblLayout w:type="fixed"/>
        <w:tblLook w:val="01E0" w:firstRow="1" w:lastRow="1" w:firstColumn="1" w:lastColumn="1" w:noHBand="0" w:noVBand="0"/>
      </w:tblPr>
      <w:tblGrid>
        <w:gridCol w:w="336"/>
        <w:gridCol w:w="8668"/>
      </w:tblGrid>
      <w:tr w:rsidR="00310096" w14:paraId="21E47EC5" w14:textId="77777777">
        <w:trPr>
          <w:trHeight w:val="501"/>
        </w:trPr>
        <w:tc>
          <w:tcPr>
            <w:tcW w:w="336" w:type="dxa"/>
          </w:tcPr>
          <w:p w14:paraId="2476CDB2" w14:textId="77777777" w:rsidR="00310096" w:rsidRDefault="00000000">
            <w:pPr>
              <w:pStyle w:val="TableParagraph"/>
              <w:spacing w:line="247" w:lineRule="exact"/>
              <w:ind w:left="50"/>
              <w:rPr>
                <w:rFonts w:ascii="Arial"/>
                <w:b/>
              </w:rPr>
            </w:pPr>
            <w:r>
              <w:rPr>
                <w:rFonts w:ascii="Arial"/>
                <w:b/>
                <w:spacing w:val="-5"/>
              </w:rPr>
              <w:t>2.</w:t>
            </w:r>
          </w:p>
        </w:tc>
        <w:tc>
          <w:tcPr>
            <w:tcW w:w="8668" w:type="dxa"/>
          </w:tcPr>
          <w:p w14:paraId="7CBDE25A" w14:textId="77777777" w:rsidR="00310096" w:rsidRDefault="00000000">
            <w:pPr>
              <w:pStyle w:val="TableParagraph"/>
              <w:spacing w:line="247" w:lineRule="exact"/>
              <w:ind w:left="107"/>
            </w:pPr>
            <w:r>
              <w:t>La</w:t>
            </w:r>
            <w:r>
              <w:rPr>
                <w:spacing w:val="27"/>
              </w:rPr>
              <w:t xml:space="preserve"> </w:t>
            </w:r>
            <w:r>
              <w:t>demande</w:t>
            </w:r>
            <w:r>
              <w:rPr>
                <w:spacing w:val="28"/>
              </w:rPr>
              <w:t xml:space="preserve"> </w:t>
            </w:r>
            <w:r>
              <w:t>de</w:t>
            </w:r>
            <w:r>
              <w:rPr>
                <w:spacing w:val="25"/>
              </w:rPr>
              <w:t xml:space="preserve"> </w:t>
            </w:r>
            <w:r>
              <w:t>marque</w:t>
            </w:r>
            <w:r>
              <w:rPr>
                <w:spacing w:val="26"/>
              </w:rPr>
              <w:t xml:space="preserve"> </w:t>
            </w:r>
            <w:r>
              <w:t>de</w:t>
            </w:r>
            <w:r>
              <w:rPr>
                <w:spacing w:val="28"/>
              </w:rPr>
              <w:t xml:space="preserve"> </w:t>
            </w:r>
            <w:r>
              <w:t>l’Union</w:t>
            </w:r>
            <w:r>
              <w:rPr>
                <w:spacing w:val="27"/>
              </w:rPr>
              <w:t xml:space="preserve"> </w:t>
            </w:r>
            <w:r>
              <w:t>européenne</w:t>
            </w:r>
            <w:r>
              <w:rPr>
                <w:spacing w:val="28"/>
              </w:rPr>
              <w:t xml:space="preserve"> </w:t>
            </w:r>
            <w:r>
              <w:t>no</w:t>
            </w:r>
            <w:r>
              <w:rPr>
                <w:spacing w:val="28"/>
              </w:rPr>
              <w:t xml:space="preserve"> </w:t>
            </w:r>
            <w:r>
              <w:t>18 738</w:t>
            </w:r>
            <w:r>
              <w:rPr>
                <w:spacing w:val="-2"/>
              </w:rPr>
              <w:t xml:space="preserve"> </w:t>
            </w:r>
            <w:r>
              <w:t>204</w:t>
            </w:r>
            <w:r>
              <w:rPr>
                <w:spacing w:val="28"/>
              </w:rPr>
              <w:t xml:space="preserve"> </w:t>
            </w:r>
            <w:r>
              <w:t>est</w:t>
            </w:r>
            <w:r>
              <w:rPr>
                <w:spacing w:val="26"/>
              </w:rPr>
              <w:t xml:space="preserve"> </w:t>
            </w:r>
            <w:r>
              <w:t>rejetée</w:t>
            </w:r>
            <w:r>
              <w:rPr>
                <w:spacing w:val="28"/>
              </w:rPr>
              <w:t xml:space="preserve"> </w:t>
            </w:r>
            <w:r>
              <w:t>dans</w:t>
            </w:r>
            <w:r>
              <w:rPr>
                <w:spacing w:val="28"/>
              </w:rPr>
              <w:t xml:space="preserve"> </w:t>
            </w:r>
            <w:r>
              <w:rPr>
                <w:spacing w:val="-5"/>
              </w:rPr>
              <w:t>son</w:t>
            </w:r>
          </w:p>
          <w:p w14:paraId="1BA19BD8" w14:textId="77777777" w:rsidR="00310096" w:rsidRDefault="00000000">
            <w:pPr>
              <w:pStyle w:val="TableParagraph"/>
              <w:spacing w:before="1" w:line="233" w:lineRule="exact"/>
              <w:ind w:left="107"/>
            </w:pPr>
            <w:r>
              <w:rPr>
                <w:spacing w:val="-2"/>
              </w:rPr>
              <w:t>intégralité.</w:t>
            </w:r>
          </w:p>
        </w:tc>
      </w:tr>
    </w:tbl>
    <w:p w14:paraId="55E0021D" w14:textId="77777777" w:rsidR="00310096" w:rsidRDefault="00310096">
      <w:pPr>
        <w:pStyle w:val="Corpsdetexte"/>
        <w:spacing w:before="58"/>
        <w:rPr>
          <w:rFonts w:ascii="Arial"/>
          <w:b/>
          <w:sz w:val="20"/>
        </w:rPr>
      </w:pPr>
    </w:p>
    <w:tbl>
      <w:tblPr>
        <w:tblStyle w:val="TableNormal"/>
        <w:tblW w:w="0" w:type="auto"/>
        <w:tblInd w:w="247" w:type="dxa"/>
        <w:tblLayout w:type="fixed"/>
        <w:tblLook w:val="01E0" w:firstRow="1" w:lastRow="1" w:firstColumn="1" w:lastColumn="1" w:noHBand="0" w:noVBand="0"/>
      </w:tblPr>
      <w:tblGrid>
        <w:gridCol w:w="340"/>
        <w:gridCol w:w="5431"/>
      </w:tblGrid>
      <w:tr w:rsidR="00310096" w14:paraId="4417A721" w14:textId="77777777">
        <w:trPr>
          <w:trHeight w:val="246"/>
        </w:trPr>
        <w:tc>
          <w:tcPr>
            <w:tcW w:w="340" w:type="dxa"/>
          </w:tcPr>
          <w:p w14:paraId="0DBDF55E" w14:textId="77777777" w:rsidR="00310096" w:rsidRDefault="00000000">
            <w:pPr>
              <w:pStyle w:val="TableParagraph"/>
              <w:spacing w:line="227" w:lineRule="exact"/>
              <w:ind w:left="50"/>
              <w:rPr>
                <w:rFonts w:ascii="Arial"/>
                <w:b/>
              </w:rPr>
            </w:pPr>
            <w:r>
              <w:rPr>
                <w:rFonts w:ascii="Arial"/>
                <w:b/>
                <w:spacing w:val="-5"/>
              </w:rPr>
              <w:t>3.</w:t>
            </w:r>
          </w:p>
        </w:tc>
        <w:tc>
          <w:tcPr>
            <w:tcW w:w="5431" w:type="dxa"/>
          </w:tcPr>
          <w:p w14:paraId="4B7AE107" w14:textId="77777777" w:rsidR="00310096" w:rsidRDefault="00000000">
            <w:pPr>
              <w:pStyle w:val="TableParagraph"/>
              <w:spacing w:line="227" w:lineRule="exact"/>
              <w:ind w:left="110"/>
            </w:pPr>
            <w:r>
              <w:t>La</w:t>
            </w:r>
            <w:r>
              <w:rPr>
                <w:spacing w:val="-4"/>
              </w:rPr>
              <w:t xml:space="preserve"> </w:t>
            </w:r>
            <w:r>
              <w:t>demanderesse</w:t>
            </w:r>
            <w:r>
              <w:rPr>
                <w:spacing w:val="-6"/>
              </w:rPr>
              <w:t xml:space="preserve"> </w:t>
            </w:r>
            <w:r>
              <w:t>supporte</w:t>
            </w:r>
            <w:r>
              <w:rPr>
                <w:spacing w:val="-5"/>
              </w:rPr>
              <w:t xml:space="preserve"> </w:t>
            </w:r>
            <w:r>
              <w:t>les</w:t>
            </w:r>
            <w:r>
              <w:rPr>
                <w:spacing w:val="-6"/>
              </w:rPr>
              <w:t xml:space="preserve"> </w:t>
            </w:r>
            <w:r>
              <w:t>frais,</w:t>
            </w:r>
            <w:r>
              <w:rPr>
                <w:spacing w:val="-6"/>
              </w:rPr>
              <w:t xml:space="preserve"> </w:t>
            </w:r>
            <w:r>
              <w:t>fixés</w:t>
            </w:r>
            <w:r>
              <w:rPr>
                <w:spacing w:val="-4"/>
              </w:rPr>
              <w:t xml:space="preserve"> </w:t>
            </w:r>
            <w:r>
              <w:t>à</w:t>
            </w:r>
            <w:r>
              <w:rPr>
                <w:spacing w:val="-3"/>
              </w:rPr>
              <w:t xml:space="preserve"> </w:t>
            </w:r>
            <w:r>
              <w:t>620</w:t>
            </w:r>
            <w:r>
              <w:rPr>
                <w:spacing w:val="-5"/>
              </w:rPr>
              <w:t xml:space="preserve"> </w:t>
            </w:r>
            <w:r>
              <w:rPr>
                <w:spacing w:val="-4"/>
              </w:rPr>
              <w:t>EUR.</w:t>
            </w:r>
          </w:p>
        </w:tc>
      </w:tr>
    </w:tbl>
    <w:p w14:paraId="5A7371CE" w14:textId="77777777" w:rsidR="00310096" w:rsidRDefault="00310096">
      <w:pPr>
        <w:pStyle w:val="Corpsdetexte"/>
        <w:rPr>
          <w:rFonts w:ascii="Arial"/>
          <w:b/>
        </w:rPr>
      </w:pPr>
    </w:p>
    <w:p w14:paraId="19E1DD5B" w14:textId="77777777" w:rsidR="00310096" w:rsidRDefault="00310096">
      <w:pPr>
        <w:pStyle w:val="Corpsdetexte"/>
        <w:spacing w:before="16"/>
        <w:rPr>
          <w:rFonts w:ascii="Arial"/>
          <w:b/>
        </w:rPr>
      </w:pPr>
    </w:p>
    <w:p w14:paraId="08F5A6A8" w14:textId="77777777" w:rsidR="00310096" w:rsidRDefault="00000000">
      <w:pPr>
        <w:ind w:left="1839" w:right="1837"/>
        <w:jc w:val="center"/>
        <w:rPr>
          <w:rFonts w:ascii="Arial"/>
          <w:b/>
        </w:rPr>
      </w:pPr>
      <w:r>
        <w:rPr>
          <w:rFonts w:ascii="Arial"/>
          <w:b/>
          <w:spacing w:val="-2"/>
        </w:rPr>
        <w:t>MOTIFS</w:t>
      </w:r>
    </w:p>
    <w:p w14:paraId="53073028" w14:textId="77777777" w:rsidR="00310096" w:rsidRDefault="00000000">
      <w:pPr>
        <w:pStyle w:val="Corpsdetexte"/>
        <w:spacing w:before="252"/>
        <w:ind w:left="165" w:right="161"/>
        <w:jc w:val="both"/>
      </w:pPr>
      <w:r>
        <w:t xml:space="preserve">Le 20/06/2023, l’opposante a formé une opposition contre tous les produits visés par la demande de marque de l’Union européenne no 18 738 </w:t>
      </w:r>
      <w:r>
        <w:rPr>
          <w:noProof/>
          <w:spacing w:val="-7"/>
          <w:position w:val="1"/>
        </w:rPr>
        <w:drawing>
          <wp:inline distT="0" distB="0" distL="0" distR="0" wp14:anchorId="4538758F" wp14:editId="2202D3BB">
            <wp:extent cx="1063330" cy="57723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063330" cy="577239"/>
                    </a:xfrm>
                    <a:prstGeom prst="rect">
                      <a:avLst/>
                    </a:prstGeom>
                  </pic:spPr>
                </pic:pic>
              </a:graphicData>
            </a:graphic>
          </wp:inline>
        </w:drawing>
      </w:r>
      <w:r>
        <w:rPr>
          <w:rFonts w:ascii="Times New Roman" w:hAnsi="Times New Roman"/>
          <w:spacing w:val="40"/>
        </w:rPr>
        <w:t xml:space="preserve"> </w:t>
      </w:r>
      <w:r>
        <w:t>204 (marque figurative). L’opposition</w:t>
      </w:r>
      <w:r>
        <w:rPr>
          <w:spacing w:val="-1"/>
        </w:rPr>
        <w:t xml:space="preserve"> </w:t>
      </w:r>
      <w:r>
        <w:t xml:space="preserve">est fondée, entre autres, sur l’enregistrement international désignant l’Union européenne no 1 241 </w:t>
      </w:r>
      <w:r>
        <w:rPr>
          <w:noProof/>
          <w:spacing w:val="-5"/>
        </w:rPr>
        <w:drawing>
          <wp:inline distT="0" distB="0" distL="0" distR="0" wp14:anchorId="61816C2C" wp14:editId="3D1FB983">
            <wp:extent cx="559155" cy="40258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59155" cy="402589"/>
                    </a:xfrm>
                    <a:prstGeom prst="rect">
                      <a:avLst/>
                    </a:prstGeom>
                  </pic:spPr>
                </pic:pic>
              </a:graphicData>
            </a:graphic>
          </wp:inline>
        </w:drawing>
      </w:r>
      <w:r>
        <w:rPr>
          <w:rFonts w:ascii="Times New Roman" w:hAnsi="Times New Roman"/>
        </w:rPr>
        <w:t xml:space="preserve"> </w:t>
      </w:r>
      <w:r>
        <w:t>685 (marque figurative). L’opposante a invoqué l’article 8, paragraphe 1, point b), du RMUE et l’article 8, paragraphe 5, du RMUE.</w:t>
      </w:r>
    </w:p>
    <w:p w14:paraId="55CF400D" w14:textId="77777777" w:rsidR="00310096" w:rsidRDefault="00310096">
      <w:pPr>
        <w:pStyle w:val="Corpsdetexte"/>
        <w:spacing w:before="249"/>
      </w:pPr>
    </w:p>
    <w:p w14:paraId="0AD9248B" w14:textId="77777777" w:rsidR="00310096" w:rsidRDefault="00000000">
      <w:pPr>
        <w:pStyle w:val="Titre1"/>
        <w:jc w:val="both"/>
      </w:pPr>
      <w:r>
        <w:t>RENOMMÉE</w:t>
      </w:r>
      <w:r>
        <w:rPr>
          <w:spacing w:val="-7"/>
        </w:rPr>
        <w:t xml:space="preserve"> </w:t>
      </w:r>
      <w:r>
        <w:t>—</w:t>
      </w:r>
      <w:r>
        <w:rPr>
          <w:spacing w:val="-3"/>
        </w:rPr>
        <w:t xml:space="preserve"> </w:t>
      </w:r>
      <w:r>
        <w:t>ARTICLE</w:t>
      </w:r>
      <w:r>
        <w:rPr>
          <w:spacing w:val="-4"/>
        </w:rPr>
        <w:t xml:space="preserve"> </w:t>
      </w:r>
      <w:r>
        <w:t>8,</w:t>
      </w:r>
      <w:r>
        <w:rPr>
          <w:spacing w:val="-3"/>
        </w:rPr>
        <w:t xml:space="preserve"> </w:t>
      </w:r>
      <w:r>
        <w:t>PARAGRAPHE</w:t>
      </w:r>
      <w:r>
        <w:rPr>
          <w:spacing w:val="-4"/>
        </w:rPr>
        <w:t xml:space="preserve"> </w:t>
      </w:r>
      <w:r>
        <w:t>5,</w:t>
      </w:r>
      <w:r>
        <w:rPr>
          <w:spacing w:val="-5"/>
        </w:rPr>
        <w:t xml:space="preserve"> </w:t>
      </w:r>
      <w:r>
        <w:t>DU</w:t>
      </w:r>
      <w:r>
        <w:rPr>
          <w:spacing w:val="-4"/>
        </w:rPr>
        <w:t xml:space="preserve"> RMUE</w:t>
      </w:r>
    </w:p>
    <w:p w14:paraId="475B989A" w14:textId="77777777" w:rsidR="00310096" w:rsidRDefault="00310096">
      <w:pPr>
        <w:pStyle w:val="Corpsdetexte"/>
        <w:spacing w:before="1"/>
        <w:rPr>
          <w:rFonts w:ascii="Arial"/>
          <w:b/>
        </w:rPr>
      </w:pPr>
    </w:p>
    <w:p w14:paraId="1FFA16F3" w14:textId="77777777" w:rsidR="00310096" w:rsidRDefault="00000000">
      <w:pPr>
        <w:pStyle w:val="Corpsdetexte"/>
        <w:ind w:left="165" w:right="163"/>
        <w:jc w:val="both"/>
      </w:pPr>
      <w:r>
        <w:t>Pour des raisons d’économie de procédure, la division d’opposition examinera d’abord l’opposition par rapport à l’enregistrement international antérieur désignant l’Union européenne no 1 241 685.</w:t>
      </w:r>
    </w:p>
    <w:p w14:paraId="584F3B4C" w14:textId="77777777" w:rsidR="00310096" w:rsidRDefault="00310096">
      <w:pPr>
        <w:pStyle w:val="Corpsdetexte"/>
        <w:spacing w:before="1"/>
      </w:pPr>
    </w:p>
    <w:p w14:paraId="72A2B656" w14:textId="77777777" w:rsidR="00310096" w:rsidRDefault="00000000">
      <w:pPr>
        <w:pStyle w:val="Corpsdetexte"/>
        <w:ind w:left="165" w:right="160"/>
        <w:jc w:val="both"/>
      </w:pPr>
      <w:r>
        <w:t>Conformément</w:t>
      </w:r>
      <w:r>
        <w:rPr>
          <w:spacing w:val="40"/>
        </w:rPr>
        <w:t xml:space="preserve"> </w:t>
      </w:r>
      <w:r>
        <w:t>à</w:t>
      </w:r>
      <w:r>
        <w:rPr>
          <w:spacing w:val="40"/>
        </w:rPr>
        <w:t xml:space="preserve"> </w:t>
      </w:r>
      <w:r>
        <w:t>l’article 8,</w:t>
      </w:r>
      <w:r>
        <w:rPr>
          <w:spacing w:val="40"/>
        </w:rPr>
        <w:t xml:space="preserve"> </w:t>
      </w:r>
      <w:r>
        <w:t>paragraphe</w:t>
      </w:r>
      <w:r>
        <w:rPr>
          <w:spacing w:val="-4"/>
        </w:rPr>
        <w:t xml:space="preserve"> </w:t>
      </w:r>
      <w:r>
        <w:t>5,</w:t>
      </w:r>
      <w:r>
        <w:rPr>
          <w:spacing w:val="40"/>
        </w:rPr>
        <w:t xml:space="preserve"> </w:t>
      </w:r>
      <w:r>
        <w:t>du RMUE,</w:t>
      </w:r>
      <w:r>
        <w:rPr>
          <w:spacing w:val="40"/>
        </w:rPr>
        <w:t xml:space="preserve"> </w:t>
      </w:r>
      <w:r>
        <w:t>sur</w:t>
      </w:r>
      <w:r>
        <w:rPr>
          <w:spacing w:val="40"/>
        </w:rPr>
        <w:t xml:space="preserve"> </w:t>
      </w:r>
      <w:r>
        <w:t>opposition du</w:t>
      </w:r>
      <w:r>
        <w:rPr>
          <w:spacing w:val="40"/>
        </w:rPr>
        <w:t xml:space="preserve"> </w:t>
      </w:r>
      <w:r>
        <w:t>titulaire</w:t>
      </w:r>
      <w:r>
        <w:rPr>
          <w:spacing w:val="40"/>
        </w:rPr>
        <w:t xml:space="preserve"> </w:t>
      </w:r>
      <w:r>
        <w:t>d’une marque antérieure enregistrée au sens de l’article 8, paragraphe</w:t>
      </w:r>
      <w:r>
        <w:rPr>
          <w:spacing w:val="-2"/>
        </w:rPr>
        <w:t xml:space="preserve"> </w:t>
      </w:r>
      <w:r>
        <w:t>2, du RMUE, la marque contestée est refusée à l’enregistrement lorsqu’elle est identique ou similaire à une marque antérieure, indépendamment du fait que les produits ou les services pour lesquels elle est demandée sont identiques, similaires ou non similaires à ceux pour lesquels la marque antérieure est enregistrée, lorsque, dans le cas d’une marque antérieure de l’Union européenne, la</w:t>
      </w:r>
      <w:r>
        <w:rPr>
          <w:spacing w:val="-2"/>
        </w:rPr>
        <w:t xml:space="preserve"> </w:t>
      </w:r>
      <w:r>
        <w:t>marque</w:t>
      </w:r>
      <w:r>
        <w:rPr>
          <w:spacing w:val="-2"/>
        </w:rPr>
        <w:t xml:space="preserve"> </w:t>
      </w:r>
      <w:r>
        <w:t>antérieure</w:t>
      </w:r>
      <w:r>
        <w:rPr>
          <w:spacing w:val="-1"/>
        </w:rPr>
        <w:t xml:space="preserve"> </w:t>
      </w:r>
      <w:r>
        <w:t>jouit d’une renommée</w:t>
      </w:r>
      <w:r>
        <w:rPr>
          <w:spacing w:val="-2"/>
        </w:rPr>
        <w:t xml:space="preserve"> </w:t>
      </w:r>
      <w:r>
        <w:t>dans l’Union ou, en cas d’usage de</w:t>
      </w:r>
    </w:p>
    <w:p w14:paraId="6739F860" w14:textId="77777777" w:rsidR="00310096" w:rsidRDefault="00310096">
      <w:pPr>
        <w:pStyle w:val="Corpsdetexte"/>
        <w:jc w:val="both"/>
        <w:sectPr w:rsidR="00310096">
          <w:type w:val="continuous"/>
          <w:pgSz w:w="11910" w:h="16840"/>
          <w:pgMar w:top="700" w:right="1275" w:bottom="280" w:left="1275" w:header="720" w:footer="720" w:gutter="0"/>
          <w:cols w:space="720"/>
        </w:sectPr>
      </w:pPr>
    </w:p>
    <w:p w14:paraId="35FA73E3" w14:textId="77777777" w:rsidR="00310096" w:rsidRDefault="00000000">
      <w:pPr>
        <w:pStyle w:val="Corpsdetexte"/>
        <w:spacing w:before="181"/>
      </w:pPr>
      <w:r>
        <w:rPr>
          <w:noProof/>
        </w:rPr>
        <w:lastRenderedPageBreak/>
        <mc:AlternateContent>
          <mc:Choice Requires="wps">
            <w:drawing>
              <wp:anchor distT="0" distB="0" distL="0" distR="0" simplePos="0" relativeHeight="15729664" behindDoc="0" locked="0" layoutInCell="1" allowOverlap="1" wp14:anchorId="051CB527" wp14:editId="395E557C">
                <wp:simplePos x="0" y="0"/>
                <wp:positionH relativeFrom="page">
                  <wp:posOffset>270575</wp:posOffset>
                </wp:positionH>
                <wp:positionV relativeFrom="page">
                  <wp:posOffset>1114363</wp:posOffset>
                </wp:positionV>
                <wp:extent cx="146050" cy="92100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296A6272"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29664" type="#_x0000_t202" id="docshape6"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643C8C5A" w14:textId="77777777" w:rsidR="00310096" w:rsidRDefault="00000000">
      <w:pPr>
        <w:pStyle w:val="Corpsdetexte"/>
        <w:ind w:left="165" w:right="165"/>
        <w:jc w:val="both"/>
      </w:pPr>
      <w:r>
        <w:t>la marque antérieure, si la marque antérieure est renommée dans l’Union ou dans le cas d’un usage antérieur d’une marque antérieure.</w:t>
      </w:r>
    </w:p>
    <w:p w14:paraId="01E13E14" w14:textId="77777777" w:rsidR="00310096" w:rsidRDefault="00310096">
      <w:pPr>
        <w:pStyle w:val="Corpsdetexte"/>
      </w:pPr>
    </w:p>
    <w:p w14:paraId="39172F87" w14:textId="77777777" w:rsidR="00310096" w:rsidRDefault="00000000">
      <w:pPr>
        <w:pStyle w:val="Corpsdetexte"/>
        <w:ind w:left="165" w:right="159"/>
        <w:jc w:val="both"/>
      </w:pPr>
      <w:r>
        <w:t>Par conséquent, les motifs de refus visés à l’article 8, paragraphe</w:t>
      </w:r>
      <w:r>
        <w:rPr>
          <w:spacing w:val="-3"/>
        </w:rPr>
        <w:t xml:space="preserve"> </w:t>
      </w:r>
      <w:r>
        <w:t>5, du RMUE ne sont applicables que lorsque les conditions suivantes sont remplies.</w:t>
      </w:r>
    </w:p>
    <w:p w14:paraId="4987129B" w14:textId="77777777" w:rsidR="00310096" w:rsidRDefault="00000000">
      <w:pPr>
        <w:pStyle w:val="Corpsdetexte"/>
        <w:spacing w:before="252"/>
        <w:ind w:left="765"/>
      </w:pPr>
      <w:r>
        <w:t>Les</w:t>
      </w:r>
      <w:r>
        <w:rPr>
          <w:spacing w:val="-4"/>
        </w:rPr>
        <w:t xml:space="preserve"> </w:t>
      </w:r>
      <w:r>
        <w:t>signes</w:t>
      </w:r>
      <w:r>
        <w:rPr>
          <w:spacing w:val="-4"/>
        </w:rPr>
        <w:t xml:space="preserve"> </w:t>
      </w:r>
      <w:r>
        <w:t>doivent</w:t>
      </w:r>
      <w:r>
        <w:rPr>
          <w:spacing w:val="-3"/>
        </w:rPr>
        <w:t xml:space="preserve"> </w:t>
      </w:r>
      <w:r>
        <w:t>être</w:t>
      </w:r>
      <w:r>
        <w:rPr>
          <w:spacing w:val="-7"/>
        </w:rPr>
        <w:t xml:space="preserve"> </w:t>
      </w:r>
      <w:r>
        <w:t>identiques</w:t>
      </w:r>
      <w:r>
        <w:rPr>
          <w:spacing w:val="-7"/>
        </w:rPr>
        <w:t xml:space="preserve"> </w:t>
      </w:r>
      <w:r>
        <w:t>ou</w:t>
      </w:r>
      <w:r>
        <w:rPr>
          <w:spacing w:val="-6"/>
        </w:rPr>
        <w:t xml:space="preserve"> </w:t>
      </w:r>
      <w:r>
        <w:rPr>
          <w:spacing w:val="-2"/>
        </w:rPr>
        <w:t>similaires.</w:t>
      </w:r>
    </w:p>
    <w:p w14:paraId="5DE19681" w14:textId="77777777" w:rsidR="00310096" w:rsidRDefault="00310096">
      <w:pPr>
        <w:pStyle w:val="Corpsdetexte"/>
        <w:spacing w:before="1"/>
      </w:pPr>
    </w:p>
    <w:p w14:paraId="3257B6AB" w14:textId="77777777" w:rsidR="00310096" w:rsidRDefault="00000000">
      <w:pPr>
        <w:pStyle w:val="Corpsdetexte"/>
        <w:ind w:left="1125" w:right="163" w:hanging="360"/>
        <w:jc w:val="both"/>
      </w:pPr>
      <w:r>
        <w:t xml:space="preserve">La marque de l’opposante doit jouir d’une renommée. La renommée doit également être antérieure au dépôt de la marque contestée; elle doit exister sur le territoire concerné et pour les produits et/ou les services sur lesquels l’opposition est </w:t>
      </w:r>
      <w:r>
        <w:rPr>
          <w:spacing w:val="-2"/>
        </w:rPr>
        <w:t>fondée;</w:t>
      </w:r>
    </w:p>
    <w:p w14:paraId="6A0795DC" w14:textId="77777777" w:rsidR="00310096" w:rsidRDefault="00310096">
      <w:pPr>
        <w:pStyle w:val="Corpsdetexte"/>
      </w:pPr>
    </w:p>
    <w:p w14:paraId="400D0DA9" w14:textId="77777777" w:rsidR="00310096" w:rsidRDefault="00000000">
      <w:pPr>
        <w:pStyle w:val="Corpsdetexte"/>
        <w:ind w:left="1125" w:right="163" w:hanging="360"/>
        <w:jc w:val="both"/>
      </w:pPr>
      <w:r>
        <w:t xml:space="preserve">Risque de blessure: l’usage de la marque contestée tirerait indûment profit du caractère distinctif ou de la renommée de la marque antérieure ou leur porterait </w:t>
      </w:r>
      <w:r>
        <w:rPr>
          <w:spacing w:val="-2"/>
        </w:rPr>
        <w:t>préjudice.</w:t>
      </w:r>
    </w:p>
    <w:p w14:paraId="4FD1E615" w14:textId="77777777" w:rsidR="00310096" w:rsidRDefault="00310096">
      <w:pPr>
        <w:pStyle w:val="Corpsdetexte"/>
        <w:spacing w:before="1"/>
      </w:pPr>
    </w:p>
    <w:p w14:paraId="42749DBA" w14:textId="77777777" w:rsidR="00310096" w:rsidRDefault="00000000">
      <w:pPr>
        <w:pStyle w:val="Corpsdetexte"/>
        <w:ind w:left="165" w:right="159"/>
        <w:jc w:val="both"/>
      </w:pPr>
      <w:r>
        <w:t>Les conditions susmentionnées étant cumulatives, l’absence de l’une d’entre elles</w:t>
      </w:r>
      <w:r>
        <w:rPr>
          <w:spacing w:val="40"/>
        </w:rPr>
        <w:t xml:space="preserve"> </w:t>
      </w:r>
      <w:r>
        <w:t>entraînera le rejet de l’opposition au titre de l’article 8, paragraphe 5, duRMUE (16/12/2010, T-357/08,</w:t>
      </w:r>
      <w:r>
        <w:rPr>
          <w:spacing w:val="77"/>
          <w:w w:val="150"/>
        </w:rPr>
        <w:t xml:space="preserve">  </w:t>
      </w:r>
      <w:r>
        <w:t>BOTOCYL/BOTOX,</w:t>
      </w:r>
      <w:r>
        <w:rPr>
          <w:spacing w:val="78"/>
          <w:w w:val="150"/>
        </w:rPr>
        <w:t xml:space="preserve">  </w:t>
      </w:r>
      <w:r>
        <w:t>EU:T:2010:529,</w:t>
      </w:r>
      <w:r>
        <w:rPr>
          <w:spacing w:val="78"/>
          <w:w w:val="150"/>
        </w:rPr>
        <w:t xml:space="preserve">  </w:t>
      </w:r>
      <w:r>
        <w:t>§</w:t>
      </w:r>
      <w:r>
        <w:rPr>
          <w:spacing w:val="77"/>
          <w:w w:val="150"/>
        </w:rPr>
        <w:t xml:space="preserve">  </w:t>
      </w:r>
      <w:r>
        <w:t>41;</w:t>
      </w:r>
      <w:r>
        <w:rPr>
          <w:spacing w:val="78"/>
          <w:w w:val="150"/>
        </w:rPr>
        <w:t xml:space="preserve">  </w:t>
      </w:r>
      <w:r>
        <w:t>16/12/2010,</w:t>
      </w:r>
      <w:r>
        <w:rPr>
          <w:spacing w:val="77"/>
          <w:w w:val="150"/>
        </w:rPr>
        <w:t xml:space="preserve">  </w:t>
      </w:r>
      <w:r>
        <w:t>T-</w:t>
      </w:r>
      <w:r>
        <w:rPr>
          <w:spacing w:val="-2"/>
        </w:rPr>
        <w:t>345/08,</w:t>
      </w:r>
    </w:p>
    <w:p w14:paraId="0ED3CA35" w14:textId="77777777" w:rsidR="00310096" w:rsidRDefault="00000000">
      <w:pPr>
        <w:pStyle w:val="Corpsdetexte"/>
        <w:ind w:left="165" w:right="157"/>
        <w:jc w:val="both"/>
      </w:pPr>
      <w:r>
        <w:t>BOTOLIST/BOTOX, EU:T:2010:529, § 41). La satisfaction de l’ensemble des conditions susmentionnées peut toutefois ne pas suffire. L’opposition peut néanmoins ne pas aboutir si la demanderesse établit l’usage avec juste motif de la marque contestée.</w:t>
      </w:r>
    </w:p>
    <w:p w14:paraId="6E00FA5D" w14:textId="77777777" w:rsidR="00310096" w:rsidRDefault="00310096">
      <w:pPr>
        <w:pStyle w:val="Corpsdetexte"/>
      </w:pPr>
    </w:p>
    <w:p w14:paraId="3691BAF2" w14:textId="77777777" w:rsidR="00310096" w:rsidRDefault="00000000">
      <w:pPr>
        <w:pStyle w:val="Corpsdetexte"/>
        <w:spacing w:before="1"/>
        <w:ind w:left="165" w:right="156"/>
        <w:jc w:val="both"/>
      </w:pPr>
      <w:r>
        <w:t>Dans le cas d’espèce, la demanderesse n’a pas avancé qu’elle avait un juste motif pour utiliser la marque contestée. Par conséquent, en l’absence de toute indication contraire, il y</w:t>
      </w:r>
      <w:r>
        <w:rPr>
          <w:spacing w:val="40"/>
        </w:rPr>
        <w:t xml:space="preserve"> </w:t>
      </w:r>
      <w:r>
        <w:t>a lieu de présumer qu’il n’existe pas de juste motif;</w:t>
      </w:r>
    </w:p>
    <w:p w14:paraId="0FBDA4D1" w14:textId="77777777" w:rsidR="00310096" w:rsidRDefault="00000000">
      <w:pPr>
        <w:pStyle w:val="Titre2"/>
        <w:numPr>
          <w:ilvl w:val="0"/>
          <w:numId w:val="3"/>
        </w:numPr>
        <w:tabs>
          <w:tab w:val="left" w:pos="423"/>
        </w:tabs>
        <w:spacing w:before="251"/>
        <w:ind w:left="423" w:hanging="258"/>
      </w:pPr>
      <w:r>
        <w:t>Renommée</w:t>
      </w:r>
      <w:r>
        <w:rPr>
          <w:spacing w:val="-7"/>
        </w:rPr>
        <w:t xml:space="preserve"> </w:t>
      </w:r>
      <w:r>
        <w:t>de</w:t>
      </w:r>
      <w:r>
        <w:rPr>
          <w:spacing w:val="-8"/>
        </w:rPr>
        <w:t xml:space="preserve"> </w:t>
      </w:r>
      <w:r>
        <w:t>la</w:t>
      </w:r>
      <w:r>
        <w:rPr>
          <w:spacing w:val="-7"/>
        </w:rPr>
        <w:t xml:space="preserve"> </w:t>
      </w:r>
      <w:r>
        <w:t>marque</w:t>
      </w:r>
      <w:r>
        <w:rPr>
          <w:spacing w:val="-4"/>
        </w:rPr>
        <w:t xml:space="preserve"> </w:t>
      </w:r>
      <w:r>
        <w:t>antérieure</w:t>
      </w:r>
      <w:r>
        <w:rPr>
          <w:spacing w:val="-4"/>
        </w:rPr>
        <w:t xml:space="preserve"> </w:t>
      </w:r>
      <w:r>
        <w:t>et</w:t>
      </w:r>
      <w:r>
        <w:rPr>
          <w:spacing w:val="-4"/>
        </w:rPr>
        <w:t xml:space="preserve"> </w:t>
      </w:r>
      <w:r>
        <w:t>appréciation</w:t>
      </w:r>
      <w:r>
        <w:rPr>
          <w:spacing w:val="-5"/>
        </w:rPr>
        <w:t xml:space="preserve"> </w:t>
      </w:r>
      <w:r>
        <w:t>de</w:t>
      </w:r>
      <w:r>
        <w:rPr>
          <w:spacing w:val="-8"/>
        </w:rPr>
        <w:t xml:space="preserve"> </w:t>
      </w:r>
      <w:r>
        <w:t>l’usage</w:t>
      </w:r>
      <w:r>
        <w:rPr>
          <w:spacing w:val="-4"/>
        </w:rPr>
        <w:t xml:space="preserve"> </w:t>
      </w:r>
      <w:r>
        <w:rPr>
          <w:spacing w:val="-2"/>
        </w:rPr>
        <w:t>sérieux</w:t>
      </w:r>
    </w:p>
    <w:p w14:paraId="7968A3AA" w14:textId="77777777" w:rsidR="00310096" w:rsidRDefault="00310096">
      <w:pPr>
        <w:pStyle w:val="Corpsdetexte"/>
        <w:spacing w:before="1"/>
        <w:rPr>
          <w:rFonts w:ascii="Arial"/>
          <w:b/>
        </w:rPr>
      </w:pPr>
    </w:p>
    <w:p w14:paraId="3E5BA45F" w14:textId="77777777" w:rsidR="00310096" w:rsidRDefault="00000000">
      <w:pPr>
        <w:ind w:left="525"/>
        <w:rPr>
          <w:rFonts w:ascii="Arial" w:hAnsi="Arial"/>
          <w:i/>
        </w:rPr>
      </w:pPr>
      <w:r>
        <w:rPr>
          <w:rFonts w:ascii="Arial" w:hAnsi="Arial"/>
          <w:i/>
        </w:rPr>
        <w:t>Nature</w:t>
      </w:r>
      <w:r>
        <w:rPr>
          <w:rFonts w:ascii="Arial" w:hAnsi="Arial"/>
          <w:i/>
          <w:spacing w:val="-4"/>
        </w:rPr>
        <w:t xml:space="preserve"> </w:t>
      </w:r>
      <w:r>
        <w:rPr>
          <w:rFonts w:ascii="Arial" w:hAnsi="Arial"/>
          <w:i/>
        </w:rPr>
        <w:t>et</w:t>
      </w:r>
      <w:r>
        <w:rPr>
          <w:rFonts w:ascii="Arial" w:hAnsi="Arial"/>
          <w:i/>
          <w:spacing w:val="-1"/>
        </w:rPr>
        <w:t xml:space="preserve"> </w:t>
      </w:r>
      <w:r>
        <w:rPr>
          <w:rFonts w:ascii="Arial" w:hAnsi="Arial"/>
          <w:i/>
        </w:rPr>
        <w:t>durée</w:t>
      </w:r>
      <w:r>
        <w:rPr>
          <w:rFonts w:ascii="Arial" w:hAnsi="Arial"/>
          <w:i/>
          <w:spacing w:val="-5"/>
        </w:rPr>
        <w:t xml:space="preserve"> </w:t>
      </w:r>
      <w:r>
        <w:rPr>
          <w:rFonts w:ascii="Arial" w:hAnsi="Arial"/>
          <w:i/>
        </w:rPr>
        <w:t>des</w:t>
      </w:r>
      <w:r>
        <w:rPr>
          <w:rFonts w:ascii="Arial" w:hAnsi="Arial"/>
          <w:i/>
          <w:spacing w:val="-2"/>
        </w:rPr>
        <w:t xml:space="preserve"> évaluations</w:t>
      </w:r>
    </w:p>
    <w:p w14:paraId="5CBDB4D7" w14:textId="77777777" w:rsidR="00310096" w:rsidRDefault="00310096">
      <w:pPr>
        <w:pStyle w:val="Corpsdetexte"/>
        <w:rPr>
          <w:rFonts w:ascii="Arial"/>
          <w:i/>
        </w:rPr>
      </w:pPr>
    </w:p>
    <w:p w14:paraId="74CF7E42" w14:textId="77777777" w:rsidR="00310096" w:rsidRDefault="00000000">
      <w:pPr>
        <w:pStyle w:val="Corpsdetexte"/>
        <w:ind w:left="165" w:right="160"/>
        <w:jc w:val="both"/>
      </w:pPr>
      <w:r>
        <w:t>La renommée suppose un seuil de connaissance qui est atteint uniquement lorsque la marque</w:t>
      </w:r>
      <w:r>
        <w:rPr>
          <w:spacing w:val="-5"/>
        </w:rPr>
        <w:t xml:space="preserve"> </w:t>
      </w:r>
      <w:r>
        <w:t>antérieure</w:t>
      </w:r>
      <w:r>
        <w:rPr>
          <w:spacing w:val="-3"/>
        </w:rPr>
        <w:t xml:space="preserve"> </w:t>
      </w:r>
      <w:r>
        <w:t>est</w:t>
      </w:r>
      <w:r>
        <w:rPr>
          <w:spacing w:val="-4"/>
        </w:rPr>
        <w:t xml:space="preserve"> </w:t>
      </w:r>
      <w:r>
        <w:t>connue</w:t>
      </w:r>
      <w:r>
        <w:rPr>
          <w:spacing w:val="-3"/>
        </w:rPr>
        <w:t xml:space="preserve"> </w:t>
      </w:r>
      <w:r>
        <w:t>d’une</w:t>
      </w:r>
      <w:r>
        <w:rPr>
          <w:spacing w:val="-3"/>
        </w:rPr>
        <w:t xml:space="preserve"> </w:t>
      </w:r>
      <w:r>
        <w:t>part</w:t>
      </w:r>
      <w:r>
        <w:rPr>
          <w:spacing w:val="-1"/>
        </w:rPr>
        <w:t xml:space="preserve"> </w:t>
      </w:r>
      <w:r>
        <w:t>significative</w:t>
      </w:r>
      <w:r>
        <w:rPr>
          <w:spacing w:val="-3"/>
        </w:rPr>
        <w:t xml:space="preserve"> </w:t>
      </w:r>
      <w:r>
        <w:t>du</w:t>
      </w:r>
      <w:r>
        <w:rPr>
          <w:spacing w:val="-3"/>
        </w:rPr>
        <w:t xml:space="preserve"> </w:t>
      </w:r>
      <w:r>
        <w:t>public</w:t>
      </w:r>
      <w:r>
        <w:rPr>
          <w:spacing w:val="-2"/>
        </w:rPr>
        <w:t xml:space="preserve"> </w:t>
      </w:r>
      <w:r>
        <w:t>pertinent</w:t>
      </w:r>
      <w:r>
        <w:rPr>
          <w:spacing w:val="-4"/>
        </w:rPr>
        <w:t xml:space="preserve"> </w:t>
      </w:r>
      <w:r>
        <w:t>pour</w:t>
      </w:r>
      <w:r>
        <w:rPr>
          <w:spacing w:val="-2"/>
        </w:rPr>
        <w:t xml:space="preserve"> </w:t>
      </w:r>
      <w:r>
        <w:t>les</w:t>
      </w:r>
      <w:r>
        <w:rPr>
          <w:spacing w:val="-3"/>
        </w:rPr>
        <w:t xml:space="preserve"> </w:t>
      </w:r>
      <w:r>
        <w:t>produits</w:t>
      </w:r>
      <w:r>
        <w:rPr>
          <w:spacing w:val="-5"/>
        </w:rPr>
        <w:t xml:space="preserve"> </w:t>
      </w:r>
      <w:r>
        <w:t>ou services qu’elle couvre. Le public pertinent est, selon les produits ou services commercialisés, soit le grand public, soit un public plus spécialisé.</w:t>
      </w:r>
    </w:p>
    <w:p w14:paraId="572BA83B" w14:textId="77777777" w:rsidR="00310096" w:rsidRDefault="00310096">
      <w:pPr>
        <w:pStyle w:val="Corpsdetexte"/>
      </w:pPr>
    </w:p>
    <w:p w14:paraId="40E1BBD2" w14:textId="77777777" w:rsidR="00310096" w:rsidRDefault="00000000">
      <w:pPr>
        <w:pStyle w:val="Corpsdetexte"/>
        <w:ind w:left="165" w:right="159"/>
        <w:jc w:val="both"/>
      </w:pPr>
      <w:r>
        <w:t xml:space="preserve">En l’espèce, la marque contestée a été déposée le </w:t>
      </w:r>
      <w:r>
        <w:rPr>
          <w:rFonts w:ascii="Arial" w:hAnsi="Arial"/>
          <w:b/>
        </w:rPr>
        <w:t>27/07/2022</w:t>
      </w:r>
      <w:r>
        <w:t>. Dès lors, l’opposante était tenue de prouver que la marque sur laquelle l’opposition est fondée avait acquis une renommée avant cette date.</w:t>
      </w:r>
      <w:r>
        <w:rPr>
          <w:spacing w:val="-1"/>
        </w:rPr>
        <w:t xml:space="preserve"> </w:t>
      </w:r>
      <w:r>
        <w:t>En principe, il suffit que l’opposante démontre que sa marque jouissait</w:t>
      </w:r>
      <w:r>
        <w:rPr>
          <w:spacing w:val="-1"/>
        </w:rPr>
        <w:t xml:space="preserve"> </w:t>
      </w:r>
      <w:r>
        <w:t>déjà</w:t>
      </w:r>
      <w:r>
        <w:rPr>
          <w:spacing w:val="-2"/>
        </w:rPr>
        <w:t xml:space="preserve"> </w:t>
      </w:r>
      <w:r>
        <w:t>d’une</w:t>
      </w:r>
      <w:r>
        <w:rPr>
          <w:spacing w:val="-2"/>
        </w:rPr>
        <w:t xml:space="preserve"> </w:t>
      </w:r>
      <w:r>
        <w:t>renommée</w:t>
      </w:r>
      <w:r>
        <w:rPr>
          <w:spacing w:val="-2"/>
        </w:rPr>
        <w:t xml:space="preserve"> </w:t>
      </w:r>
      <w:r>
        <w:t>à</w:t>
      </w:r>
      <w:r>
        <w:rPr>
          <w:spacing w:val="-2"/>
        </w:rPr>
        <w:t xml:space="preserve"> </w:t>
      </w:r>
      <w:r>
        <w:t>cette</w:t>
      </w:r>
      <w:r>
        <w:rPr>
          <w:spacing w:val="-2"/>
        </w:rPr>
        <w:t xml:space="preserve"> </w:t>
      </w:r>
      <w:r>
        <w:t>date. S’il</w:t>
      </w:r>
      <w:r>
        <w:rPr>
          <w:spacing w:val="-1"/>
        </w:rPr>
        <w:t xml:space="preserve"> </w:t>
      </w:r>
      <w:r>
        <w:t>ressort</w:t>
      </w:r>
      <w:r>
        <w:rPr>
          <w:spacing w:val="-1"/>
        </w:rPr>
        <w:t xml:space="preserve"> </w:t>
      </w:r>
      <w:r>
        <w:t>du</w:t>
      </w:r>
      <w:r>
        <w:rPr>
          <w:spacing w:val="-2"/>
        </w:rPr>
        <w:t xml:space="preserve"> </w:t>
      </w:r>
      <w:r>
        <w:t>libellé de</w:t>
      </w:r>
      <w:r>
        <w:rPr>
          <w:spacing w:val="-1"/>
        </w:rPr>
        <w:t xml:space="preserve"> </w:t>
      </w:r>
      <w:r>
        <w:t>l’article 8, paragraphe</w:t>
      </w:r>
      <w:r>
        <w:rPr>
          <w:spacing w:val="-3"/>
        </w:rPr>
        <w:t xml:space="preserve"> </w:t>
      </w:r>
      <w:r>
        <w:t>5, du RMUE que les conditions de son application doivent également être réunies au moment de l’adoption de la décision, et que, par conséquent, la renommée de la marque antérieure doit exister jusqu’à ce que la décision sur l’opposition soit rendue, toute perte de renommée ultérieure incombe au demandeur à revendiquer et à prouver. Pour déterminer le niveau de renommée de la marque, il convient de prendre en considération tous les éléments pertinents de la cause, notamment et en particulier, la part de marché détenue par la marque, l’intensité, l’étendue géographique et la durée de son usage ainsi que l’importance des investissements réalisés par l’entreprise pour la promouvoir;</w:t>
      </w:r>
    </w:p>
    <w:p w14:paraId="2EEF3FB5" w14:textId="77777777" w:rsidR="00310096" w:rsidRDefault="00310096">
      <w:pPr>
        <w:pStyle w:val="Corpsdetexte"/>
      </w:pPr>
    </w:p>
    <w:p w14:paraId="2B6BC31E" w14:textId="77777777" w:rsidR="00310096" w:rsidRDefault="00000000">
      <w:pPr>
        <w:pStyle w:val="Corpsdetexte"/>
        <w:ind w:left="165" w:right="162"/>
        <w:jc w:val="both"/>
      </w:pPr>
      <w:r>
        <w:t>Les</w:t>
      </w:r>
      <w:r>
        <w:rPr>
          <w:spacing w:val="-1"/>
        </w:rPr>
        <w:t xml:space="preserve"> </w:t>
      </w:r>
      <w:r>
        <w:t>éléments</w:t>
      </w:r>
      <w:r>
        <w:rPr>
          <w:spacing w:val="-1"/>
        </w:rPr>
        <w:t xml:space="preserve"> </w:t>
      </w:r>
      <w:r>
        <w:t>de</w:t>
      </w:r>
      <w:r>
        <w:rPr>
          <w:spacing w:val="-4"/>
        </w:rPr>
        <w:t xml:space="preserve"> </w:t>
      </w:r>
      <w:r>
        <w:t>preuve</w:t>
      </w:r>
      <w:r>
        <w:rPr>
          <w:spacing w:val="-2"/>
        </w:rPr>
        <w:t xml:space="preserve"> </w:t>
      </w:r>
      <w:r>
        <w:t>doivent également</w:t>
      </w:r>
      <w:r>
        <w:rPr>
          <w:spacing w:val="-3"/>
        </w:rPr>
        <w:t xml:space="preserve"> </w:t>
      </w:r>
      <w:r>
        <w:t>montrer</w:t>
      </w:r>
      <w:r>
        <w:rPr>
          <w:spacing w:val="-3"/>
        </w:rPr>
        <w:t xml:space="preserve"> </w:t>
      </w:r>
      <w:r>
        <w:t>que</w:t>
      </w:r>
      <w:r>
        <w:rPr>
          <w:spacing w:val="-2"/>
        </w:rPr>
        <w:t xml:space="preserve"> </w:t>
      </w:r>
      <w:r>
        <w:t>la</w:t>
      </w:r>
      <w:r>
        <w:rPr>
          <w:spacing w:val="-2"/>
        </w:rPr>
        <w:t xml:space="preserve"> </w:t>
      </w:r>
      <w:r>
        <w:t>renommée</w:t>
      </w:r>
      <w:r>
        <w:rPr>
          <w:spacing w:val="-2"/>
        </w:rPr>
        <w:t xml:space="preserve"> </w:t>
      </w:r>
      <w:r>
        <w:t>a</w:t>
      </w:r>
      <w:r>
        <w:rPr>
          <w:spacing w:val="-4"/>
        </w:rPr>
        <w:t xml:space="preserve"> </w:t>
      </w:r>
      <w:r>
        <w:t>été</w:t>
      </w:r>
      <w:r>
        <w:rPr>
          <w:spacing w:val="-2"/>
        </w:rPr>
        <w:t xml:space="preserve"> </w:t>
      </w:r>
      <w:r>
        <w:t>acquise</w:t>
      </w:r>
      <w:r>
        <w:rPr>
          <w:spacing w:val="-2"/>
        </w:rPr>
        <w:t xml:space="preserve"> </w:t>
      </w:r>
      <w:r>
        <w:t>pour</w:t>
      </w:r>
      <w:r>
        <w:rPr>
          <w:spacing w:val="-1"/>
        </w:rPr>
        <w:t xml:space="preserve"> </w:t>
      </w:r>
      <w:r>
        <w:t>les produits pour lesquels l’opposante a revendiqué une renommée, à savoir:</w:t>
      </w:r>
    </w:p>
    <w:p w14:paraId="602930DC" w14:textId="77777777" w:rsidR="00310096" w:rsidRDefault="00310096">
      <w:pPr>
        <w:pStyle w:val="Corpsdetexte"/>
        <w:spacing w:before="2"/>
      </w:pPr>
    </w:p>
    <w:p w14:paraId="27445565" w14:textId="77777777" w:rsidR="00310096" w:rsidRDefault="00000000">
      <w:pPr>
        <w:ind w:left="165"/>
        <w:jc w:val="both"/>
        <w:rPr>
          <w:rFonts w:ascii="Arial"/>
          <w:i/>
        </w:rPr>
      </w:pPr>
      <w:r>
        <w:t>Classe</w:t>
      </w:r>
      <w:r>
        <w:rPr>
          <w:spacing w:val="-4"/>
        </w:rPr>
        <w:t xml:space="preserve"> </w:t>
      </w:r>
      <w:r>
        <w:t>18:</w:t>
      </w:r>
      <w:r>
        <w:rPr>
          <w:spacing w:val="-2"/>
        </w:rPr>
        <w:t xml:space="preserve"> </w:t>
      </w:r>
      <w:r>
        <w:rPr>
          <w:rFonts w:ascii="Arial"/>
          <w:i/>
          <w:spacing w:val="-4"/>
        </w:rPr>
        <w:t>Sacs</w:t>
      </w:r>
    </w:p>
    <w:p w14:paraId="038CC5A2" w14:textId="77777777" w:rsidR="00310096" w:rsidRDefault="00310096">
      <w:pPr>
        <w:jc w:val="both"/>
        <w:rPr>
          <w:rFonts w:ascii="Arial"/>
          <w:i/>
        </w:rPr>
        <w:sectPr w:rsidR="00310096">
          <w:headerReference w:type="default" r:id="rId10"/>
          <w:pgSz w:w="11910" w:h="16840"/>
          <w:pgMar w:top="1000" w:right="1275" w:bottom="280" w:left="1275" w:header="727" w:footer="0" w:gutter="0"/>
          <w:pgNumType w:start="2"/>
          <w:cols w:space="720"/>
        </w:sectPr>
      </w:pPr>
    </w:p>
    <w:p w14:paraId="4A868555" w14:textId="77777777" w:rsidR="00310096" w:rsidRDefault="00000000">
      <w:pPr>
        <w:pStyle w:val="Corpsdetexte"/>
        <w:spacing w:before="181"/>
        <w:rPr>
          <w:rFonts w:ascii="Arial"/>
          <w:i/>
        </w:rPr>
      </w:pPr>
      <w:r>
        <w:rPr>
          <w:rFonts w:ascii="Arial"/>
          <w:i/>
          <w:noProof/>
        </w:rPr>
        <w:lastRenderedPageBreak/>
        <mc:AlternateContent>
          <mc:Choice Requires="wps">
            <w:drawing>
              <wp:anchor distT="0" distB="0" distL="0" distR="0" simplePos="0" relativeHeight="15730176" behindDoc="0" locked="0" layoutInCell="1" allowOverlap="1" wp14:anchorId="7302585A" wp14:editId="3C045A86">
                <wp:simplePos x="0" y="0"/>
                <wp:positionH relativeFrom="page">
                  <wp:posOffset>270575</wp:posOffset>
                </wp:positionH>
                <wp:positionV relativeFrom="page">
                  <wp:posOffset>1114363</wp:posOffset>
                </wp:positionV>
                <wp:extent cx="146050" cy="92100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F69014B"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30176" type="#_x0000_t202" id="docshape7"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25B5F189" w14:textId="77777777" w:rsidR="00310096" w:rsidRDefault="00000000">
      <w:pPr>
        <w:ind w:left="165"/>
        <w:jc w:val="both"/>
        <w:rPr>
          <w:rFonts w:ascii="Arial" w:hAnsi="Arial"/>
          <w:i/>
        </w:rPr>
      </w:pPr>
      <w:r>
        <w:t>Classe</w:t>
      </w:r>
      <w:r>
        <w:rPr>
          <w:spacing w:val="-4"/>
        </w:rPr>
        <w:t xml:space="preserve"> </w:t>
      </w:r>
      <w:r>
        <w:t>25:</w:t>
      </w:r>
      <w:r>
        <w:rPr>
          <w:spacing w:val="-2"/>
        </w:rPr>
        <w:t xml:space="preserve"> </w:t>
      </w:r>
      <w:r>
        <w:rPr>
          <w:rFonts w:ascii="Arial" w:hAnsi="Arial"/>
          <w:i/>
          <w:spacing w:val="-2"/>
        </w:rPr>
        <w:t>Vêtements</w:t>
      </w:r>
    </w:p>
    <w:p w14:paraId="4FFFDE93" w14:textId="77777777" w:rsidR="00310096" w:rsidRDefault="00310096">
      <w:pPr>
        <w:pStyle w:val="Corpsdetexte"/>
        <w:rPr>
          <w:rFonts w:ascii="Arial"/>
          <w:i/>
        </w:rPr>
      </w:pPr>
    </w:p>
    <w:p w14:paraId="260A8405" w14:textId="77777777" w:rsidR="00310096" w:rsidRDefault="00310096">
      <w:pPr>
        <w:pStyle w:val="Corpsdetexte"/>
        <w:spacing w:before="17"/>
        <w:rPr>
          <w:rFonts w:ascii="Arial"/>
          <w:i/>
        </w:rPr>
      </w:pPr>
    </w:p>
    <w:p w14:paraId="7C778CC1" w14:textId="77777777" w:rsidR="00310096" w:rsidRDefault="00000000">
      <w:pPr>
        <w:pStyle w:val="Corpsdetexte"/>
        <w:ind w:left="165" w:right="159"/>
        <w:jc w:val="both"/>
      </w:pPr>
      <w:r>
        <w:t xml:space="preserve">Il convient toutefois de noter que la marque antérieure faisant l’objet de l’appréciation </w:t>
      </w:r>
      <w:r>
        <w:rPr>
          <w:rFonts w:ascii="Arial" w:hAnsi="Arial"/>
          <w:b/>
          <w:u w:val="single"/>
        </w:rPr>
        <w:t>est</w:t>
      </w:r>
      <w:r>
        <w:rPr>
          <w:rFonts w:ascii="Arial" w:hAnsi="Arial"/>
          <w:b/>
        </w:rPr>
        <w:t xml:space="preserve"> </w:t>
      </w:r>
      <w:r>
        <w:rPr>
          <w:rFonts w:ascii="Arial" w:hAnsi="Arial"/>
          <w:b/>
          <w:u w:val="single"/>
        </w:rPr>
        <w:t>soumise à la preuve de l’usage dans la présente procédure</w:t>
      </w:r>
      <w:r>
        <w:t>, comme l’a demandé la demanderesse. On 27/09/2023, conformément à l’article 10, paragraphe 2, du RDMUE, l’Office a donné à l’opposante jusqu’au 07/12/2023 pour produire la preuve de l’usage de la marque antérieure. Le 01/12/2023, dans le délai imparti, l’opposante a produit des preuves de l’usage.</w:t>
      </w:r>
    </w:p>
    <w:p w14:paraId="115FB942" w14:textId="77777777" w:rsidR="00310096" w:rsidRDefault="00310096">
      <w:pPr>
        <w:pStyle w:val="Corpsdetexte"/>
      </w:pPr>
    </w:p>
    <w:p w14:paraId="2052D73F" w14:textId="77777777" w:rsidR="00310096" w:rsidRDefault="00000000">
      <w:pPr>
        <w:pStyle w:val="Corpsdetexte"/>
        <w:ind w:left="165" w:right="158"/>
        <w:jc w:val="both"/>
      </w:pPr>
      <w:r>
        <w:t>En effet, conformément à l’article 47, paragraphe</w:t>
      </w:r>
      <w:r>
        <w:rPr>
          <w:spacing w:val="-1"/>
        </w:rPr>
        <w:t xml:space="preserve"> </w:t>
      </w:r>
      <w:r>
        <w:t>2 et (3) du RMUE, sur requête de la demanderesse, l’opposante apporte la preuve que, au cours des cinq années qui précèdent la date de dépôt ou, le cas échéant, la date de priorité de la marque contestée, la marque antérieure</w:t>
      </w:r>
      <w:r>
        <w:rPr>
          <w:spacing w:val="-4"/>
        </w:rPr>
        <w:t xml:space="preserve"> </w:t>
      </w:r>
      <w:r>
        <w:t>a</w:t>
      </w:r>
      <w:r>
        <w:rPr>
          <w:spacing w:val="-4"/>
        </w:rPr>
        <w:t xml:space="preserve"> </w:t>
      </w:r>
      <w:r>
        <w:t>fait</w:t>
      </w:r>
      <w:r>
        <w:rPr>
          <w:spacing w:val="-1"/>
        </w:rPr>
        <w:t xml:space="preserve"> </w:t>
      </w:r>
      <w:r>
        <w:t>l’objet</w:t>
      </w:r>
      <w:r>
        <w:rPr>
          <w:spacing w:val="-1"/>
        </w:rPr>
        <w:t xml:space="preserve"> </w:t>
      </w:r>
      <w:r>
        <w:t>d’un</w:t>
      </w:r>
      <w:r>
        <w:rPr>
          <w:spacing w:val="-2"/>
        </w:rPr>
        <w:t xml:space="preserve"> </w:t>
      </w:r>
      <w:r>
        <w:t>usage</w:t>
      </w:r>
      <w:r>
        <w:rPr>
          <w:spacing w:val="-2"/>
        </w:rPr>
        <w:t xml:space="preserve"> </w:t>
      </w:r>
      <w:r>
        <w:t>sérieux</w:t>
      </w:r>
      <w:r>
        <w:rPr>
          <w:spacing w:val="-4"/>
        </w:rPr>
        <w:t xml:space="preserve"> </w:t>
      </w:r>
      <w:r>
        <w:t>dans</w:t>
      </w:r>
      <w:r>
        <w:rPr>
          <w:spacing w:val="-2"/>
        </w:rPr>
        <w:t xml:space="preserve"> </w:t>
      </w:r>
      <w:r>
        <w:t>les</w:t>
      </w:r>
      <w:r>
        <w:rPr>
          <w:spacing w:val="-1"/>
        </w:rPr>
        <w:t xml:space="preserve"> </w:t>
      </w:r>
      <w:r>
        <w:t>territoires</w:t>
      </w:r>
      <w:r>
        <w:rPr>
          <w:spacing w:val="-1"/>
        </w:rPr>
        <w:t xml:space="preserve"> </w:t>
      </w:r>
      <w:r>
        <w:t>dans</w:t>
      </w:r>
      <w:r>
        <w:rPr>
          <w:spacing w:val="-4"/>
        </w:rPr>
        <w:t xml:space="preserve"> </w:t>
      </w:r>
      <w:r>
        <w:t>lesquels</w:t>
      </w:r>
      <w:r>
        <w:rPr>
          <w:spacing w:val="-1"/>
        </w:rPr>
        <w:t xml:space="preserve"> </w:t>
      </w:r>
      <w:r>
        <w:t>elle</w:t>
      </w:r>
      <w:r>
        <w:rPr>
          <w:spacing w:val="-2"/>
        </w:rPr>
        <w:t xml:space="preserve"> </w:t>
      </w:r>
      <w:r>
        <w:t>est</w:t>
      </w:r>
      <w:r>
        <w:rPr>
          <w:spacing w:val="-2"/>
        </w:rPr>
        <w:t xml:space="preserve"> </w:t>
      </w:r>
      <w:r>
        <w:t>protégée pour les produits ou les services pour lesquels elle est enregistrée et sur lesquels</w:t>
      </w:r>
      <w:r>
        <w:rPr>
          <w:spacing w:val="40"/>
        </w:rPr>
        <w:t xml:space="preserve"> </w:t>
      </w:r>
      <w:r>
        <w:t>l’opposition est fondée, ou qu’il existe de justes motifs pour le non-usage. La marque antérieure est soumise à l’obligation d’usage si, à cette date, elle était enregistrée depuis cinq ans</w:t>
      </w:r>
      <w:r>
        <w:rPr>
          <w:spacing w:val="-2"/>
        </w:rPr>
        <w:t xml:space="preserve"> </w:t>
      </w:r>
      <w:r>
        <w:t>au</w:t>
      </w:r>
      <w:r>
        <w:rPr>
          <w:spacing w:val="-2"/>
        </w:rPr>
        <w:t xml:space="preserve"> </w:t>
      </w:r>
      <w:r>
        <w:t>moins.</w:t>
      </w:r>
      <w:r>
        <w:rPr>
          <w:spacing w:val="-1"/>
        </w:rPr>
        <w:t xml:space="preserve"> </w:t>
      </w:r>
      <w:r>
        <w:t>La</w:t>
      </w:r>
      <w:r>
        <w:rPr>
          <w:spacing w:val="-4"/>
        </w:rPr>
        <w:t xml:space="preserve"> </w:t>
      </w:r>
      <w:r>
        <w:t>même disposition prévoit que, à</w:t>
      </w:r>
      <w:r>
        <w:rPr>
          <w:spacing w:val="-2"/>
        </w:rPr>
        <w:t xml:space="preserve"> </w:t>
      </w:r>
      <w:r>
        <w:t>défaut d’une</w:t>
      </w:r>
      <w:r>
        <w:rPr>
          <w:spacing w:val="-2"/>
        </w:rPr>
        <w:t xml:space="preserve"> </w:t>
      </w:r>
      <w:r>
        <w:t>telle preuve, l’opposition est rejetée.</w:t>
      </w:r>
      <w:r>
        <w:rPr>
          <w:spacing w:val="-2"/>
        </w:rPr>
        <w:t xml:space="preserve"> </w:t>
      </w:r>
      <w:r>
        <w:t>La demande a été introduite en temps utile et est recevable dans la mesure où</w:t>
      </w:r>
      <w:r>
        <w:rPr>
          <w:spacing w:val="80"/>
        </w:rPr>
        <w:t xml:space="preserve"> </w:t>
      </w:r>
      <w:r>
        <w:t xml:space="preserve">la marque antérieure a été enregistrée plus de cinq ans avant la date pertinente </w:t>
      </w:r>
      <w:r>
        <w:rPr>
          <w:spacing w:val="-2"/>
        </w:rPr>
        <w:t>susmentionnée.</w:t>
      </w:r>
    </w:p>
    <w:p w14:paraId="25183D31" w14:textId="77777777" w:rsidR="00310096" w:rsidRDefault="00310096">
      <w:pPr>
        <w:pStyle w:val="Corpsdetexte"/>
        <w:spacing w:before="1"/>
      </w:pPr>
    </w:p>
    <w:p w14:paraId="2DF04835" w14:textId="77777777" w:rsidR="00310096" w:rsidRDefault="00000000">
      <w:pPr>
        <w:pStyle w:val="Corpsdetexte"/>
        <w:ind w:left="165" w:right="157"/>
        <w:jc w:val="both"/>
      </w:pPr>
      <w:r>
        <w:t xml:space="preserve">La date de dépôt de la demande contestée étant le 27/07/2022, l’opposante était tenue de prouver que la marque sur laquelle l’opposition est fondée a fait l’objet d’un usage sérieux dans l’Union européenne du </w:t>
      </w:r>
      <w:r>
        <w:rPr>
          <w:rFonts w:ascii="Arial" w:hAnsi="Arial"/>
          <w:b/>
          <w:u w:val="single"/>
        </w:rPr>
        <w:t>27/07/2017 au 26/07/2022</w:t>
      </w:r>
      <w:r>
        <w:rPr>
          <w:rFonts w:ascii="Arial" w:hAnsi="Arial"/>
          <w:b/>
        </w:rPr>
        <w:t xml:space="preserve"> </w:t>
      </w:r>
      <w:r>
        <w:t>inclus. En outre, les éléments de preuve doivent démontrer l’usage de la marque pour tous les produits pour lesquels la marque est enregistrée, qui incluent, entre autres, les produits susmentionnés pour lesquels la renommée a été revendiquée par l’opposante.</w:t>
      </w:r>
    </w:p>
    <w:p w14:paraId="760EF710" w14:textId="77777777" w:rsidR="00310096" w:rsidRDefault="00000000">
      <w:pPr>
        <w:pStyle w:val="Corpsdetexte"/>
        <w:spacing w:before="251"/>
        <w:ind w:left="165" w:right="162"/>
        <w:jc w:val="both"/>
      </w:pPr>
      <w:r>
        <w:t>Conformément à l’article</w:t>
      </w:r>
      <w:r>
        <w:rPr>
          <w:spacing w:val="-1"/>
        </w:rPr>
        <w:t xml:space="preserve"> </w:t>
      </w:r>
      <w:r>
        <w:t>10, paragraphe</w:t>
      </w:r>
      <w:r>
        <w:rPr>
          <w:spacing w:val="-3"/>
        </w:rPr>
        <w:t xml:space="preserve"> </w:t>
      </w:r>
      <w:r>
        <w:t>3, du RDMUE, les éléments de preuve à produire afin de prouver l’usage comprennent des indications sur le lieu, la durée, l’importance et la nature de l’usage qui a été fait de la marque antérieure pour les produits ou services pour lesquels elle est enregistrée et sur lesquels l’opposition se fonde.</w:t>
      </w:r>
    </w:p>
    <w:p w14:paraId="37290A8A" w14:textId="77777777" w:rsidR="00310096" w:rsidRDefault="00310096">
      <w:pPr>
        <w:pStyle w:val="Corpsdetexte"/>
        <w:spacing w:before="2"/>
      </w:pPr>
    </w:p>
    <w:p w14:paraId="3C860F00" w14:textId="77777777" w:rsidR="00310096" w:rsidRDefault="00000000">
      <w:pPr>
        <w:pStyle w:val="Corpsdetexte"/>
        <w:spacing w:before="1"/>
        <w:ind w:left="165" w:right="159"/>
        <w:jc w:val="both"/>
      </w:pPr>
      <w:r>
        <w:t>Bien que l’appréciation de l’usage sérieux diffère de l’appréciation de la renommée au</w:t>
      </w:r>
      <w:r>
        <w:rPr>
          <w:spacing w:val="40"/>
        </w:rPr>
        <w:t xml:space="preserve"> </w:t>
      </w:r>
      <w:r>
        <w:t>regard</w:t>
      </w:r>
      <w:r>
        <w:rPr>
          <w:spacing w:val="-1"/>
        </w:rPr>
        <w:t xml:space="preserve"> </w:t>
      </w:r>
      <w:r>
        <w:t>de la</w:t>
      </w:r>
      <w:r>
        <w:rPr>
          <w:spacing w:val="-2"/>
        </w:rPr>
        <w:t xml:space="preserve"> </w:t>
      </w:r>
      <w:r>
        <w:t>période</w:t>
      </w:r>
      <w:r>
        <w:rPr>
          <w:spacing w:val="-2"/>
        </w:rPr>
        <w:t xml:space="preserve"> </w:t>
      </w:r>
      <w:r>
        <w:t>analysée et des</w:t>
      </w:r>
      <w:r>
        <w:rPr>
          <w:spacing w:val="-2"/>
        </w:rPr>
        <w:t xml:space="preserve"> </w:t>
      </w:r>
      <w:r>
        <w:t>exigences</w:t>
      </w:r>
      <w:r>
        <w:rPr>
          <w:spacing w:val="-4"/>
        </w:rPr>
        <w:t xml:space="preserve"> </w:t>
      </w:r>
      <w:r>
        <w:t>remplies, la</w:t>
      </w:r>
      <w:r>
        <w:rPr>
          <w:spacing w:val="-2"/>
        </w:rPr>
        <w:t xml:space="preserve"> </w:t>
      </w:r>
      <w:r>
        <w:t>division d’opposition estime</w:t>
      </w:r>
      <w:r>
        <w:rPr>
          <w:spacing w:val="-2"/>
        </w:rPr>
        <w:t xml:space="preserve"> </w:t>
      </w:r>
      <w:r>
        <w:t>qu’il convient de procéder à une appréciation simultanée en l’espèce, en se focalisant uniquement sur les produits pour lesquels une renommée a été revendiquée.</w:t>
      </w:r>
    </w:p>
    <w:p w14:paraId="7DFA35AF" w14:textId="77777777" w:rsidR="00310096" w:rsidRDefault="00000000">
      <w:pPr>
        <w:spacing w:before="253"/>
        <w:ind w:left="525"/>
        <w:rPr>
          <w:rFonts w:ascii="Arial" w:hAnsi="Arial"/>
          <w:i/>
        </w:rPr>
      </w:pPr>
      <w:r>
        <w:rPr>
          <w:rFonts w:ascii="Arial" w:hAnsi="Arial"/>
          <w:i/>
        </w:rPr>
        <w:t>Liste</w:t>
      </w:r>
      <w:r>
        <w:rPr>
          <w:rFonts w:ascii="Arial" w:hAnsi="Arial"/>
          <w:i/>
          <w:spacing w:val="-3"/>
        </w:rPr>
        <w:t xml:space="preserve"> </w:t>
      </w:r>
      <w:r>
        <w:rPr>
          <w:rFonts w:ascii="Arial" w:hAnsi="Arial"/>
          <w:i/>
        </w:rPr>
        <w:t>des</w:t>
      </w:r>
      <w:r>
        <w:rPr>
          <w:rFonts w:ascii="Arial" w:hAnsi="Arial"/>
          <w:i/>
          <w:spacing w:val="-4"/>
        </w:rPr>
        <w:t xml:space="preserve"> </w:t>
      </w:r>
      <w:r>
        <w:rPr>
          <w:rFonts w:ascii="Arial" w:hAnsi="Arial"/>
          <w:i/>
        </w:rPr>
        <w:t>éléments</w:t>
      </w:r>
      <w:r>
        <w:rPr>
          <w:rFonts w:ascii="Arial" w:hAnsi="Arial"/>
          <w:i/>
          <w:spacing w:val="-1"/>
        </w:rPr>
        <w:t xml:space="preserve"> </w:t>
      </w:r>
      <w:r>
        <w:rPr>
          <w:rFonts w:ascii="Arial" w:hAnsi="Arial"/>
          <w:i/>
        </w:rPr>
        <w:t>de</w:t>
      </w:r>
      <w:r>
        <w:rPr>
          <w:rFonts w:ascii="Arial" w:hAnsi="Arial"/>
          <w:i/>
          <w:spacing w:val="-4"/>
        </w:rPr>
        <w:t xml:space="preserve"> </w:t>
      </w:r>
      <w:r>
        <w:rPr>
          <w:rFonts w:ascii="Arial" w:hAnsi="Arial"/>
          <w:i/>
          <w:spacing w:val="-2"/>
        </w:rPr>
        <w:t>preuve</w:t>
      </w:r>
    </w:p>
    <w:p w14:paraId="02EA6DBE" w14:textId="77777777" w:rsidR="00310096" w:rsidRDefault="00310096">
      <w:pPr>
        <w:pStyle w:val="Corpsdetexte"/>
        <w:spacing w:before="14"/>
        <w:rPr>
          <w:rFonts w:ascii="Arial"/>
          <w:i/>
        </w:rPr>
      </w:pPr>
    </w:p>
    <w:p w14:paraId="7680CC8A" w14:textId="77777777" w:rsidR="00310096" w:rsidRDefault="00000000">
      <w:pPr>
        <w:pStyle w:val="Corpsdetexte"/>
        <w:ind w:left="165" w:right="162"/>
        <w:jc w:val="both"/>
      </w:pPr>
      <w:r>
        <w:t>Les éléments de preuve mentionnés par l’opposante en ce qui concerne la revendication de renommée et à prendre en considération aux fins de ladite appréciation sont, entre autres, les suivants (en ce qui concerne la marque antérieure examinée):</w:t>
      </w:r>
    </w:p>
    <w:p w14:paraId="4633C504" w14:textId="77777777" w:rsidR="00310096" w:rsidRDefault="00310096">
      <w:pPr>
        <w:pStyle w:val="Corpsdetexte"/>
        <w:spacing w:before="16"/>
      </w:pPr>
    </w:p>
    <w:p w14:paraId="4B1A172C" w14:textId="77777777" w:rsidR="00310096" w:rsidRDefault="00000000">
      <w:pPr>
        <w:pStyle w:val="Corpsdetexte"/>
        <w:ind w:left="165" w:right="161"/>
        <w:jc w:val="both"/>
      </w:pPr>
      <w:r>
        <w:rPr>
          <w:rFonts w:ascii="Arial" w:hAnsi="Arial"/>
          <w:b/>
        </w:rPr>
        <w:t xml:space="preserve">Annexes 2 et 3: </w:t>
      </w:r>
      <w:r>
        <w:t>extraits des catalogues de l’opposante, promus sous la marque «GUCCI», datés</w:t>
      </w:r>
      <w:r>
        <w:rPr>
          <w:spacing w:val="-5"/>
        </w:rPr>
        <w:t xml:space="preserve"> </w:t>
      </w:r>
      <w:r>
        <w:t>du</w:t>
      </w:r>
      <w:r>
        <w:rPr>
          <w:spacing w:val="-4"/>
        </w:rPr>
        <w:t xml:space="preserve"> </w:t>
      </w:r>
      <w:r>
        <w:t>1982/1983,</w:t>
      </w:r>
      <w:r>
        <w:rPr>
          <w:spacing w:val="-2"/>
        </w:rPr>
        <w:t xml:space="preserve"> </w:t>
      </w:r>
      <w:r>
        <w:t>1986,</w:t>
      </w:r>
      <w:r>
        <w:rPr>
          <w:spacing w:val="-3"/>
        </w:rPr>
        <w:t xml:space="preserve"> </w:t>
      </w:r>
      <w:r>
        <w:t>2006/2007,</w:t>
      </w:r>
      <w:r>
        <w:rPr>
          <w:spacing w:val="-2"/>
        </w:rPr>
        <w:t xml:space="preserve"> </w:t>
      </w:r>
      <w:r>
        <w:t>2008,</w:t>
      </w:r>
      <w:r>
        <w:rPr>
          <w:spacing w:val="-3"/>
        </w:rPr>
        <w:t xml:space="preserve"> </w:t>
      </w:r>
      <w:r>
        <w:t>2010,</w:t>
      </w:r>
      <w:r>
        <w:rPr>
          <w:spacing w:val="-3"/>
        </w:rPr>
        <w:t xml:space="preserve"> </w:t>
      </w:r>
      <w:r>
        <w:t>2010/2011,</w:t>
      </w:r>
      <w:r>
        <w:rPr>
          <w:spacing w:val="-2"/>
        </w:rPr>
        <w:t xml:space="preserve"> </w:t>
      </w:r>
      <w:r>
        <w:t>2013/2014,</w:t>
      </w:r>
      <w:r>
        <w:rPr>
          <w:spacing w:val="-2"/>
        </w:rPr>
        <w:t xml:space="preserve"> </w:t>
      </w:r>
      <w:r>
        <w:t>2020</w:t>
      </w:r>
      <w:r>
        <w:rPr>
          <w:spacing w:val="-4"/>
        </w:rPr>
        <w:t xml:space="preserve"> </w:t>
      </w:r>
      <w:r>
        <w:t>et</w:t>
      </w:r>
      <w:r>
        <w:rPr>
          <w:spacing w:val="-5"/>
        </w:rPr>
        <w:t xml:space="preserve"> </w:t>
      </w:r>
      <w:r>
        <w:t>2021.</w:t>
      </w:r>
      <w:r>
        <w:rPr>
          <w:spacing w:val="-5"/>
        </w:rPr>
        <w:t xml:space="preserve"> Ils</w:t>
      </w:r>
    </w:p>
    <w:p w14:paraId="42F7E254" w14:textId="77777777" w:rsidR="00310096" w:rsidRDefault="00000000">
      <w:pPr>
        <w:pStyle w:val="Corpsdetexte"/>
        <w:spacing w:before="1"/>
        <w:ind w:left="165" w:right="161"/>
        <w:jc w:val="both"/>
      </w:pPr>
      <w:r>
        <w:t>représentent des articles des collections de mode de l’opposante qui ont été vendus au détail dans des magasins ou présentés lors de défilés de mode. Les images montrent des articles en cuir et des articles de mode, notamment des ceintures, des chaussures, des écharpes, des sacs à main et des sacs à dos, des chaussettes et des shorts de boxer, des portefeuilles et des étuis en cuir. La marque antérieure est visible sur bon nombre des produits, apparaissant comme un monogramme accolé à ceux-ci. Par exemple:</w:t>
      </w:r>
    </w:p>
    <w:p w14:paraId="3AB28735" w14:textId="77777777" w:rsidR="00310096" w:rsidRDefault="00310096">
      <w:pPr>
        <w:pStyle w:val="Corpsdetexte"/>
        <w:jc w:val="both"/>
        <w:sectPr w:rsidR="00310096">
          <w:pgSz w:w="11910" w:h="16840"/>
          <w:pgMar w:top="1000" w:right="1275" w:bottom="280" w:left="1275" w:header="727" w:footer="0" w:gutter="0"/>
          <w:cols w:space="720"/>
        </w:sectPr>
      </w:pPr>
    </w:p>
    <w:p w14:paraId="6DF9DC29" w14:textId="77777777" w:rsidR="00310096" w:rsidRDefault="00000000">
      <w:pPr>
        <w:pStyle w:val="Corpsdetexte"/>
        <w:rPr>
          <w:sz w:val="20"/>
        </w:rPr>
      </w:pPr>
      <w:r>
        <w:rPr>
          <w:noProof/>
          <w:sz w:val="20"/>
        </w:rPr>
        <w:lastRenderedPageBreak/>
        <mc:AlternateContent>
          <mc:Choice Requires="wps">
            <w:drawing>
              <wp:anchor distT="0" distB="0" distL="0" distR="0" simplePos="0" relativeHeight="15731200" behindDoc="0" locked="0" layoutInCell="1" allowOverlap="1" wp14:anchorId="0E119AD4" wp14:editId="546D69D1">
                <wp:simplePos x="0" y="0"/>
                <wp:positionH relativeFrom="page">
                  <wp:posOffset>270575</wp:posOffset>
                </wp:positionH>
                <wp:positionV relativeFrom="page">
                  <wp:posOffset>1114363</wp:posOffset>
                </wp:positionV>
                <wp:extent cx="146050" cy="9210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60D16B0C"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31200" type="#_x0000_t202" id="docshape8"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257FFDEB" w14:textId="77777777" w:rsidR="00310096" w:rsidRDefault="00310096">
      <w:pPr>
        <w:pStyle w:val="Corpsdetexte"/>
        <w:spacing w:before="227"/>
        <w:rPr>
          <w:sz w:val="20"/>
        </w:rPr>
      </w:pPr>
    </w:p>
    <w:p w14:paraId="3A3CDEF0" w14:textId="77777777" w:rsidR="00310096" w:rsidRDefault="00000000">
      <w:pPr>
        <w:pStyle w:val="Corpsdetexte"/>
        <w:ind w:left="995"/>
        <w:rPr>
          <w:sz w:val="20"/>
        </w:rPr>
      </w:pPr>
      <w:r>
        <w:rPr>
          <w:noProof/>
          <w:sz w:val="20"/>
        </w:rPr>
        <mc:AlternateContent>
          <mc:Choice Requires="wps">
            <w:drawing>
              <wp:inline distT="0" distB="0" distL="0" distR="0" wp14:anchorId="0481569D" wp14:editId="70E476C9">
                <wp:extent cx="5135245" cy="4780280"/>
                <wp:effectExtent l="0" t="0" r="0" b="127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5245" cy="4780280"/>
                          <a:chOff x="0" y="0"/>
                          <a:chExt cx="5135245" cy="4780280"/>
                        </a:xfrm>
                      </wpg:grpSpPr>
                      <pic:pic xmlns:pic="http://schemas.openxmlformats.org/drawingml/2006/picture">
                        <pic:nvPicPr>
                          <pic:cNvPr id="13" name="Image 13"/>
                          <pic:cNvPicPr/>
                        </pic:nvPicPr>
                        <pic:blipFill>
                          <a:blip r:embed="rId11" cstate="print"/>
                          <a:stretch>
                            <a:fillRect/>
                          </a:stretch>
                        </pic:blipFill>
                        <pic:spPr>
                          <a:xfrm>
                            <a:off x="0" y="199351"/>
                            <a:ext cx="1353312" cy="959484"/>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1353819" y="0"/>
                            <a:ext cx="1445259" cy="1158836"/>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2799079" y="60299"/>
                            <a:ext cx="1235710" cy="1098410"/>
                          </a:xfrm>
                          <a:prstGeom prst="rect">
                            <a:avLst/>
                          </a:prstGeom>
                        </pic:spPr>
                      </pic:pic>
                      <pic:pic xmlns:pic="http://schemas.openxmlformats.org/drawingml/2006/picture">
                        <pic:nvPicPr>
                          <pic:cNvPr id="16" name="Image 16"/>
                          <pic:cNvPicPr/>
                        </pic:nvPicPr>
                        <pic:blipFill>
                          <a:blip r:embed="rId14" cstate="print"/>
                          <a:stretch>
                            <a:fillRect/>
                          </a:stretch>
                        </pic:blipFill>
                        <pic:spPr>
                          <a:xfrm>
                            <a:off x="4034790" y="137121"/>
                            <a:ext cx="1100302" cy="1021715"/>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672211" y="1159090"/>
                            <a:ext cx="3790568" cy="1124966"/>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8000" y="2386291"/>
                            <a:ext cx="2319401" cy="1088389"/>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2328164" y="2330996"/>
                            <a:ext cx="1085214" cy="1143558"/>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3413378" y="2284056"/>
                            <a:ext cx="1713611" cy="1190625"/>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419354" y="3474681"/>
                            <a:ext cx="1318895" cy="1274826"/>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1738248" y="3569296"/>
                            <a:ext cx="1393063" cy="1180464"/>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3131439" y="3601046"/>
                            <a:ext cx="1545463" cy="1148714"/>
                          </a:xfrm>
                          <a:prstGeom prst="rect">
                            <a:avLst/>
                          </a:prstGeom>
                        </pic:spPr>
                      </pic:pic>
                      <wps:wsp>
                        <wps:cNvPr id="24" name="Textbox 24"/>
                        <wps:cNvSpPr txBox="1"/>
                        <wps:spPr>
                          <a:xfrm>
                            <a:off x="4677155" y="4623597"/>
                            <a:ext cx="52069" cy="156845"/>
                          </a:xfrm>
                          <a:prstGeom prst="rect">
                            <a:avLst/>
                          </a:prstGeom>
                        </wps:spPr>
                        <wps:txbx>
                          <w:txbxContent>
                            <w:p w14:paraId="138D6F26" w14:textId="77777777" w:rsidR="00310096" w:rsidRDefault="00000000">
                              <w:pPr>
                                <w:spacing w:line="247" w:lineRule="exact"/>
                              </w:pPr>
                              <w:r>
                                <w:rPr>
                                  <w:spacing w:val="-10"/>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04.35pt;height:376.4pt;mso-position-horizontal-relative:char;mso-position-vertical-relative:line" id="docshapegroup9" coordorigin="0,0" coordsize="8087,7528">
                <v:shape style="position:absolute;left:0;top:313;width:2132;height:1511" type="#_x0000_t75" id="docshape10" stroked="false">
                  <v:imagedata r:id="rId22" o:title=""/>
                </v:shape>
                <v:shape style="position:absolute;left:2132;top:0;width:2276;height:1825" type="#_x0000_t75" id="docshape11" stroked="false">
                  <v:imagedata r:id="rId23" o:title=""/>
                </v:shape>
                <v:shape style="position:absolute;left:4408;top:94;width:1946;height:1730" type="#_x0000_t75" id="docshape12" stroked="false">
                  <v:imagedata r:id="rId24" o:title=""/>
                </v:shape>
                <v:shape style="position:absolute;left:6354;top:215;width:1733;height:1609" type="#_x0000_t75" id="docshape13" stroked="false">
                  <v:imagedata r:id="rId25" o:title=""/>
                </v:shape>
                <v:shape style="position:absolute;left:1058;top:1825;width:5970;height:1772" type="#_x0000_t75" id="docshape14" stroked="false">
                  <v:imagedata r:id="rId26" o:title=""/>
                </v:shape>
                <v:shape style="position:absolute;left:12;top:3757;width:3653;height:1714" type="#_x0000_t75" id="docshape15" stroked="false">
                  <v:imagedata r:id="rId27" o:title=""/>
                </v:shape>
                <v:shape style="position:absolute;left:3666;top:3670;width:1709;height:1801" type="#_x0000_t75" id="docshape16" stroked="false">
                  <v:imagedata r:id="rId28" o:title=""/>
                </v:shape>
                <v:shape style="position:absolute;left:5375;top:3596;width:2699;height:1875" type="#_x0000_t75" id="docshape17" stroked="false">
                  <v:imagedata r:id="rId29" o:title=""/>
                </v:shape>
                <v:shape style="position:absolute;left:660;top:5471;width:2077;height:2008" type="#_x0000_t75" id="docshape18" stroked="false">
                  <v:imagedata r:id="rId30" o:title=""/>
                </v:shape>
                <v:shape style="position:absolute;left:2737;top:5620;width:2194;height:1859" type="#_x0000_t75" id="docshape19" stroked="false">
                  <v:imagedata r:id="rId31" o:title=""/>
                </v:shape>
                <v:shape style="position:absolute;left:4931;top:5670;width:2434;height:1809" type="#_x0000_t75" id="docshape20" stroked="false">
                  <v:imagedata r:id="rId32" o:title=""/>
                </v:shape>
                <v:shape style="position:absolute;left:7365;top:7281;width:82;height:247" type="#_x0000_t202" id="docshape21" filled="false" stroked="false">
                  <v:textbox inset="0,0,0,0">
                    <w:txbxContent>
                      <w:p>
                        <w:pPr>
                          <w:spacing w:line="247" w:lineRule="exact" w:before="0"/>
                          <w:ind w:left="0" w:right="0" w:firstLine="0"/>
                          <w:jc w:val="left"/>
                          <w:rPr>
                            <w:sz w:val="22"/>
                          </w:rPr>
                        </w:pPr>
                        <w:r>
                          <w:rPr>
                            <w:spacing w:val="-10"/>
                            <w:sz w:val="22"/>
                          </w:rPr>
                          <w:t>.</w:t>
                        </w:r>
                      </w:p>
                    </w:txbxContent>
                  </v:textbox>
                  <w10:wrap type="none"/>
                </v:shape>
              </v:group>
            </w:pict>
          </mc:Fallback>
        </mc:AlternateContent>
      </w:r>
    </w:p>
    <w:p w14:paraId="4C416A5D" w14:textId="77777777" w:rsidR="00310096" w:rsidRDefault="00000000">
      <w:pPr>
        <w:pStyle w:val="Corpsdetexte"/>
        <w:spacing w:before="243"/>
        <w:ind w:left="165" w:right="160"/>
        <w:jc w:val="both"/>
      </w:pPr>
      <w:r>
        <w:rPr>
          <w:rFonts w:ascii="Arial" w:hAnsi="Arial"/>
          <w:b/>
        </w:rPr>
        <w:t xml:space="preserve">Annexe 4: </w:t>
      </w:r>
      <w:r>
        <w:t>des extraits des livres «Gucci by Gucci» (publiés en 2006) et «Gucci: La fabrication de»</w:t>
      </w:r>
      <w:r>
        <w:rPr>
          <w:spacing w:val="-2"/>
        </w:rPr>
        <w:t xml:space="preserve"> </w:t>
      </w:r>
      <w:r>
        <w:t>(publiée</w:t>
      </w:r>
      <w:r>
        <w:rPr>
          <w:spacing w:val="-2"/>
        </w:rPr>
        <w:t xml:space="preserve"> </w:t>
      </w:r>
      <w:r>
        <w:t>en 2011), consacrée respectivement aux</w:t>
      </w:r>
      <w:r>
        <w:rPr>
          <w:spacing w:val="-2"/>
        </w:rPr>
        <w:t xml:space="preserve"> </w:t>
      </w:r>
      <w:r>
        <w:t>85e et</w:t>
      </w:r>
      <w:r>
        <w:rPr>
          <w:spacing w:val="-1"/>
        </w:rPr>
        <w:t xml:space="preserve"> </w:t>
      </w:r>
      <w:r>
        <w:t>90e anniversaire de la marque. Selon l’opposante, ces livres relèvent de l’histoire de Gucci et de ses principales étapes. La marque antérieure apparaît attachée</w:t>
      </w:r>
      <w:r>
        <w:rPr>
          <w:spacing w:val="-2"/>
        </w:rPr>
        <w:t xml:space="preserve"> </w:t>
      </w:r>
      <w:r>
        <w:t>à une partie des produits, tels que des sacs et</w:t>
      </w:r>
      <w:r>
        <w:rPr>
          <w:spacing w:val="-1"/>
        </w:rPr>
        <w:t xml:space="preserve"> </w:t>
      </w:r>
      <w:r>
        <w:t>des</w:t>
      </w:r>
      <w:r>
        <w:rPr>
          <w:spacing w:val="-4"/>
        </w:rPr>
        <w:t xml:space="preserve"> </w:t>
      </w:r>
      <w:r>
        <w:t>ceintures.</w:t>
      </w:r>
      <w:r>
        <w:rPr>
          <w:spacing w:val="-3"/>
        </w:rPr>
        <w:t xml:space="preserve"> </w:t>
      </w:r>
      <w:r>
        <w:t>Le</w:t>
      </w:r>
      <w:r>
        <w:rPr>
          <w:spacing w:val="-4"/>
        </w:rPr>
        <w:t xml:space="preserve"> </w:t>
      </w:r>
      <w:r>
        <w:t>texte</w:t>
      </w:r>
      <w:r>
        <w:rPr>
          <w:spacing w:val="-2"/>
        </w:rPr>
        <w:t xml:space="preserve"> </w:t>
      </w:r>
      <w:r>
        <w:t>note</w:t>
      </w:r>
      <w:r>
        <w:rPr>
          <w:spacing w:val="-4"/>
        </w:rPr>
        <w:t xml:space="preserve"> </w:t>
      </w:r>
      <w:r>
        <w:t>également</w:t>
      </w:r>
      <w:r>
        <w:rPr>
          <w:spacing w:val="-5"/>
        </w:rPr>
        <w:t xml:space="preserve"> </w:t>
      </w:r>
      <w:r>
        <w:t>que</w:t>
      </w:r>
      <w:r>
        <w:rPr>
          <w:spacing w:val="-2"/>
        </w:rPr>
        <w:t xml:space="preserve"> </w:t>
      </w:r>
      <w:r>
        <w:t>les</w:t>
      </w:r>
      <w:r>
        <w:rPr>
          <w:spacing w:val="-1"/>
        </w:rPr>
        <w:t xml:space="preserve"> </w:t>
      </w:r>
      <w:r>
        <w:t>produits</w:t>
      </w:r>
      <w:r>
        <w:rPr>
          <w:spacing w:val="-4"/>
        </w:rPr>
        <w:t xml:space="preserve"> </w:t>
      </w:r>
      <w:r>
        <w:t>fabriqués</w:t>
      </w:r>
      <w:r>
        <w:rPr>
          <w:spacing w:val="-1"/>
        </w:rPr>
        <w:t xml:space="preserve"> </w:t>
      </w:r>
      <w:r>
        <w:t>par</w:t>
      </w:r>
      <w:r>
        <w:rPr>
          <w:spacing w:val="-3"/>
        </w:rPr>
        <w:t xml:space="preserve"> </w:t>
      </w:r>
      <w:r>
        <w:t>Gucci</w:t>
      </w:r>
      <w:r>
        <w:rPr>
          <w:spacing w:val="-3"/>
        </w:rPr>
        <w:t xml:space="preserve"> </w:t>
      </w:r>
      <w:r>
        <w:t>ont été</w:t>
      </w:r>
      <w:r>
        <w:rPr>
          <w:spacing w:val="-2"/>
        </w:rPr>
        <w:t xml:space="preserve"> </w:t>
      </w:r>
      <w:r>
        <w:t>portés par de nombreuses célébrités et de personnes connues du public, dont les livres</w:t>
      </w:r>
      <w:r>
        <w:rPr>
          <w:spacing w:val="40"/>
        </w:rPr>
        <w:t xml:space="preserve"> </w:t>
      </w:r>
      <w:r>
        <w:t>contiennent des preuves photographiques.</w:t>
      </w:r>
    </w:p>
    <w:p w14:paraId="049A4F13" w14:textId="77777777" w:rsidR="00310096" w:rsidRDefault="00310096">
      <w:pPr>
        <w:pStyle w:val="Corpsdetexte"/>
        <w:spacing w:before="16"/>
      </w:pPr>
    </w:p>
    <w:p w14:paraId="2ED844D9" w14:textId="77777777" w:rsidR="00310096" w:rsidRDefault="00000000">
      <w:pPr>
        <w:pStyle w:val="Corpsdetexte"/>
        <w:ind w:left="165" w:right="163"/>
        <w:jc w:val="both"/>
      </w:pPr>
      <w:r>
        <w:rPr>
          <w:rFonts w:ascii="Arial" w:hAnsi="Arial"/>
          <w:b/>
        </w:rPr>
        <w:t xml:space="preserve">Annexe 5: </w:t>
      </w:r>
      <w:r>
        <w:t xml:space="preserve">des copies d’une sélection de classements datant des dix dernières années, y compris un lien vers les pages web respectives. En particulier, les éléments suivants sont </w:t>
      </w:r>
      <w:r>
        <w:rPr>
          <w:spacing w:val="-2"/>
        </w:rPr>
        <w:t>inclus:</w:t>
      </w:r>
    </w:p>
    <w:p w14:paraId="39D61478" w14:textId="77777777" w:rsidR="00310096" w:rsidRDefault="00310096">
      <w:pPr>
        <w:pStyle w:val="Corpsdetexte"/>
        <w:spacing w:before="16"/>
      </w:pPr>
    </w:p>
    <w:p w14:paraId="64DC1F0D" w14:textId="77777777" w:rsidR="00310096" w:rsidRDefault="00000000">
      <w:pPr>
        <w:pStyle w:val="Paragraphedeliste"/>
        <w:numPr>
          <w:ilvl w:val="0"/>
          <w:numId w:val="2"/>
        </w:numPr>
        <w:tabs>
          <w:tab w:val="left" w:pos="1125"/>
        </w:tabs>
        <w:ind w:right="157"/>
      </w:pPr>
      <w:r>
        <w:t>Aperçu des classements de la marque italienne Gucci, dans le secteur de la</w:t>
      </w:r>
      <w:r>
        <w:rPr>
          <w:spacing w:val="80"/>
        </w:rPr>
        <w:t xml:space="preserve"> </w:t>
      </w:r>
      <w:r>
        <w:t xml:space="preserve">mode, extrait du site web </w:t>
      </w:r>
      <w:hyperlink r:id="rId33">
        <w:r>
          <w:t>www.rankingthebrands.com</w:t>
        </w:r>
      </w:hyperlink>
      <w:r>
        <w:t xml:space="preserve"> et daté du 06/2023, indiquant une variété de classements datés entre 2007 et 2023, dans lesquels le nom de l’opposante (GUCCI) figure principalement parmi les 50 premières marques énumérées. Par exemple, elle était la 99e (2020) dans le «Brandfinance Global 500» par Brand Finance; 65th (2023), 58th (2022) 49th (2020) et 52e</w:t>
      </w:r>
      <w:r>
        <w:rPr>
          <w:spacing w:val="40"/>
        </w:rPr>
        <w:t xml:space="preserve"> </w:t>
      </w:r>
      <w:r>
        <w:t>(2019) dans les «BrZ Top 100 brands globales les plus précieuses» de Kantar; 30th</w:t>
      </w:r>
      <w:r>
        <w:rPr>
          <w:spacing w:val="20"/>
        </w:rPr>
        <w:t xml:space="preserve"> </w:t>
      </w:r>
      <w:r>
        <w:t>(2022),</w:t>
      </w:r>
      <w:r>
        <w:rPr>
          <w:spacing w:val="21"/>
        </w:rPr>
        <w:t xml:space="preserve"> </w:t>
      </w:r>
      <w:r>
        <w:t>33e</w:t>
      </w:r>
      <w:r>
        <w:rPr>
          <w:spacing w:val="20"/>
        </w:rPr>
        <w:t xml:space="preserve"> </w:t>
      </w:r>
      <w:r>
        <w:t>(2021e</w:t>
      </w:r>
      <w:r>
        <w:rPr>
          <w:spacing w:val="20"/>
        </w:rPr>
        <w:t xml:space="preserve"> </w:t>
      </w:r>
      <w:r>
        <w:t>et</w:t>
      </w:r>
      <w:r>
        <w:rPr>
          <w:spacing w:val="21"/>
        </w:rPr>
        <w:t xml:space="preserve"> </w:t>
      </w:r>
      <w:r>
        <w:t>2019),</w:t>
      </w:r>
      <w:r>
        <w:rPr>
          <w:spacing w:val="21"/>
        </w:rPr>
        <w:t xml:space="preserve"> </w:t>
      </w:r>
      <w:r>
        <w:t>39th</w:t>
      </w:r>
      <w:r>
        <w:rPr>
          <w:spacing w:val="20"/>
        </w:rPr>
        <w:t xml:space="preserve"> </w:t>
      </w:r>
      <w:r>
        <w:t>(2018),</w:t>
      </w:r>
      <w:r>
        <w:rPr>
          <w:spacing w:val="19"/>
        </w:rPr>
        <w:t xml:space="preserve"> </w:t>
      </w:r>
      <w:r>
        <w:t>51st</w:t>
      </w:r>
      <w:r>
        <w:rPr>
          <w:spacing w:val="21"/>
        </w:rPr>
        <w:t xml:space="preserve"> </w:t>
      </w:r>
      <w:r>
        <w:t>(2017),</w:t>
      </w:r>
      <w:r>
        <w:rPr>
          <w:spacing w:val="21"/>
        </w:rPr>
        <w:t xml:space="preserve"> </w:t>
      </w:r>
      <w:r>
        <w:t>53 rd</w:t>
      </w:r>
      <w:r>
        <w:rPr>
          <w:spacing w:val="20"/>
        </w:rPr>
        <w:t xml:space="preserve"> </w:t>
      </w:r>
      <w:r>
        <w:t>(2016)</w:t>
      </w:r>
      <w:r>
        <w:rPr>
          <w:spacing w:val="23"/>
        </w:rPr>
        <w:t xml:space="preserve"> </w:t>
      </w:r>
      <w:r>
        <w:t>et</w:t>
      </w:r>
      <w:r>
        <w:rPr>
          <w:spacing w:val="21"/>
        </w:rPr>
        <w:t xml:space="preserve"> </w:t>
      </w:r>
      <w:r>
        <w:t>50th</w:t>
      </w:r>
    </w:p>
    <w:p w14:paraId="6BA01F4B" w14:textId="77777777" w:rsidR="00310096" w:rsidRDefault="00000000">
      <w:pPr>
        <w:pStyle w:val="Corpsdetexte"/>
        <w:spacing w:before="1"/>
        <w:ind w:left="1125" w:right="162"/>
        <w:jc w:val="both"/>
      </w:pPr>
      <w:r>
        <w:t>(2015) dans les «Best Global Brands» by Interbrand; 12th (2020) et 11th (2011) dans le «BrandZ Top 75 Global Retail Brands» de Kantar; 30th (2019) et 36th (2018)</w:t>
      </w:r>
      <w:r>
        <w:rPr>
          <w:spacing w:val="17"/>
        </w:rPr>
        <w:t xml:space="preserve"> </w:t>
      </w:r>
      <w:r>
        <w:t>dans</w:t>
      </w:r>
      <w:r>
        <w:rPr>
          <w:spacing w:val="15"/>
        </w:rPr>
        <w:t xml:space="preserve"> </w:t>
      </w:r>
      <w:r>
        <w:t>«Les</w:t>
      </w:r>
      <w:r>
        <w:rPr>
          <w:spacing w:val="17"/>
        </w:rPr>
        <w:t xml:space="preserve"> </w:t>
      </w:r>
      <w:r>
        <w:t>marques</w:t>
      </w:r>
      <w:r>
        <w:rPr>
          <w:spacing w:val="18"/>
        </w:rPr>
        <w:t xml:space="preserve"> </w:t>
      </w:r>
      <w:r>
        <w:t>les</w:t>
      </w:r>
      <w:r>
        <w:rPr>
          <w:spacing w:val="15"/>
        </w:rPr>
        <w:t xml:space="preserve"> </w:t>
      </w:r>
      <w:r>
        <w:t>plus</w:t>
      </w:r>
      <w:r>
        <w:rPr>
          <w:spacing w:val="18"/>
        </w:rPr>
        <w:t xml:space="preserve"> </w:t>
      </w:r>
      <w:r>
        <w:t>précieuses</w:t>
      </w:r>
      <w:r>
        <w:rPr>
          <w:spacing w:val="13"/>
        </w:rPr>
        <w:t xml:space="preserve"> </w:t>
      </w:r>
      <w:r>
        <w:t>du</w:t>
      </w:r>
      <w:r>
        <w:rPr>
          <w:spacing w:val="17"/>
        </w:rPr>
        <w:t xml:space="preserve"> </w:t>
      </w:r>
      <w:r>
        <w:t>monde»</w:t>
      </w:r>
      <w:r>
        <w:rPr>
          <w:spacing w:val="18"/>
        </w:rPr>
        <w:t xml:space="preserve"> </w:t>
      </w:r>
      <w:r>
        <w:t>par</w:t>
      </w:r>
      <w:r>
        <w:rPr>
          <w:spacing w:val="17"/>
        </w:rPr>
        <w:t xml:space="preserve"> </w:t>
      </w:r>
      <w:r>
        <w:t>des</w:t>
      </w:r>
      <w:r>
        <w:rPr>
          <w:spacing w:val="16"/>
        </w:rPr>
        <w:t xml:space="preserve"> </w:t>
      </w:r>
      <w:r>
        <w:t>Forbes;</w:t>
      </w:r>
      <w:r>
        <w:rPr>
          <w:spacing w:val="18"/>
        </w:rPr>
        <w:t xml:space="preserve"> </w:t>
      </w:r>
      <w:r>
        <w:rPr>
          <w:spacing w:val="-4"/>
        </w:rPr>
        <w:t>39th</w:t>
      </w:r>
    </w:p>
    <w:p w14:paraId="78DD7DD3" w14:textId="77777777" w:rsidR="00310096" w:rsidRDefault="00310096">
      <w:pPr>
        <w:pStyle w:val="Corpsdetexte"/>
        <w:jc w:val="both"/>
        <w:sectPr w:rsidR="00310096">
          <w:pgSz w:w="11910" w:h="16840"/>
          <w:pgMar w:top="1000" w:right="1275" w:bottom="280" w:left="1275" w:header="727" w:footer="0" w:gutter="0"/>
          <w:cols w:space="720"/>
        </w:sectPr>
      </w:pPr>
    </w:p>
    <w:p w14:paraId="6430F1F9" w14:textId="77777777" w:rsidR="00310096" w:rsidRDefault="00000000">
      <w:pPr>
        <w:pStyle w:val="Corpsdetexte"/>
        <w:spacing w:before="181"/>
      </w:pPr>
      <w:r>
        <w:rPr>
          <w:noProof/>
        </w:rPr>
        <w:lastRenderedPageBreak/>
        <mc:AlternateContent>
          <mc:Choice Requires="wps">
            <w:drawing>
              <wp:anchor distT="0" distB="0" distL="0" distR="0" simplePos="0" relativeHeight="15732224" behindDoc="0" locked="0" layoutInCell="1" allowOverlap="1" wp14:anchorId="07ADEE3D" wp14:editId="36995F52">
                <wp:simplePos x="0" y="0"/>
                <wp:positionH relativeFrom="page">
                  <wp:posOffset>270575</wp:posOffset>
                </wp:positionH>
                <wp:positionV relativeFrom="page">
                  <wp:posOffset>1114363</wp:posOffset>
                </wp:positionV>
                <wp:extent cx="146050" cy="92100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41CEF350"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32224" type="#_x0000_t202" id="docshape22"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44BFD412" w14:textId="77777777" w:rsidR="00310096" w:rsidRDefault="00000000">
      <w:pPr>
        <w:pStyle w:val="Corpsdetexte"/>
        <w:ind w:left="1125" w:right="164"/>
        <w:jc w:val="both"/>
      </w:pPr>
      <w:r>
        <w:t>(2019) et 12th</w:t>
      </w:r>
      <w:r>
        <w:rPr>
          <w:spacing w:val="-3"/>
        </w:rPr>
        <w:t xml:space="preserve"> </w:t>
      </w:r>
      <w:r>
        <w:t>(2018)</w:t>
      </w:r>
      <w:r>
        <w:rPr>
          <w:spacing w:val="-2"/>
        </w:rPr>
        <w:t xml:space="preserve"> </w:t>
      </w:r>
      <w:r>
        <w:t>dans les «Top</w:t>
      </w:r>
      <w:r>
        <w:rPr>
          <w:spacing w:val="-1"/>
        </w:rPr>
        <w:t xml:space="preserve"> </w:t>
      </w:r>
      <w:r>
        <w:t>100</w:t>
      </w:r>
      <w:r>
        <w:rPr>
          <w:spacing w:val="-3"/>
        </w:rPr>
        <w:t xml:space="preserve"> </w:t>
      </w:r>
      <w:r>
        <w:t>brands</w:t>
      </w:r>
      <w:r>
        <w:rPr>
          <w:spacing w:val="-5"/>
        </w:rPr>
        <w:t xml:space="preserve"> </w:t>
      </w:r>
      <w:r>
        <w:t>pour</w:t>
      </w:r>
      <w:r>
        <w:rPr>
          <w:spacing w:val="-2"/>
        </w:rPr>
        <w:t xml:space="preserve"> </w:t>
      </w:r>
      <w:r>
        <w:t>millennials» de Moosylvania; 22nd</w:t>
      </w:r>
      <w:r>
        <w:rPr>
          <w:spacing w:val="-2"/>
        </w:rPr>
        <w:t xml:space="preserve"> </w:t>
      </w:r>
      <w:r>
        <w:t>(2018)</w:t>
      </w:r>
      <w:r>
        <w:rPr>
          <w:spacing w:val="-3"/>
        </w:rPr>
        <w:t xml:space="preserve"> </w:t>
      </w:r>
      <w:r>
        <w:t>dans</w:t>
      </w:r>
      <w:r>
        <w:rPr>
          <w:spacing w:val="-4"/>
        </w:rPr>
        <w:t xml:space="preserve"> </w:t>
      </w:r>
      <w:r>
        <w:t>les «marques</w:t>
      </w:r>
      <w:r>
        <w:rPr>
          <w:spacing w:val="-1"/>
        </w:rPr>
        <w:t xml:space="preserve"> </w:t>
      </w:r>
      <w:r>
        <w:t>allemandes</w:t>
      </w:r>
      <w:r>
        <w:rPr>
          <w:spacing w:val="-6"/>
        </w:rPr>
        <w:t xml:space="preserve"> </w:t>
      </w:r>
      <w:r>
        <w:t>Top»</w:t>
      </w:r>
      <w:r>
        <w:rPr>
          <w:spacing w:val="-4"/>
        </w:rPr>
        <w:t xml:space="preserve"> </w:t>
      </w:r>
      <w:r>
        <w:t>par</w:t>
      </w:r>
      <w:r>
        <w:rPr>
          <w:spacing w:val="1"/>
        </w:rPr>
        <w:t xml:space="preserve"> </w:t>
      </w:r>
      <w:r>
        <w:t>NetBase;</w:t>
      </w:r>
      <w:r>
        <w:rPr>
          <w:spacing w:val="-2"/>
        </w:rPr>
        <w:t xml:space="preserve"> </w:t>
      </w:r>
      <w:r>
        <w:t>9th</w:t>
      </w:r>
      <w:r>
        <w:rPr>
          <w:spacing w:val="-3"/>
        </w:rPr>
        <w:t xml:space="preserve"> </w:t>
      </w:r>
      <w:r>
        <w:t>(2017)</w:t>
      </w:r>
      <w:r>
        <w:rPr>
          <w:spacing w:val="-3"/>
        </w:rPr>
        <w:t xml:space="preserve"> </w:t>
      </w:r>
      <w:r>
        <w:t xml:space="preserve">dans </w:t>
      </w:r>
      <w:r>
        <w:rPr>
          <w:spacing w:val="-5"/>
        </w:rPr>
        <w:t>la</w:t>
      </w:r>
    </w:p>
    <w:p w14:paraId="0E377EA0" w14:textId="77777777" w:rsidR="00310096" w:rsidRDefault="00000000">
      <w:pPr>
        <w:pStyle w:val="Corpsdetexte"/>
        <w:spacing w:before="1"/>
        <w:ind w:left="1125" w:right="158"/>
        <w:jc w:val="both"/>
      </w:pPr>
      <w:r>
        <w:t>«Top 50 liste de Love Europe» par NetBase; 2e (2016) dans les «marques NetBase Luxury», et 80e (2016) dans «The st Valuable European Brands» par Brand Finance; 4th (2012) dans les «Sacs à main du monde Luxury Index» par DLG et Luxury Society; 2nd (2011) dans «Top 100 Italian Brands» par ItalBrand; 45th (2011) dans «Les 100 marques les plus souhaitées» par Clear; et 25e (2007) dans «Top 25 marques uniques européennes les plus précieux» par l’Institut européen de Brand — Vienne.</w:t>
      </w:r>
    </w:p>
    <w:p w14:paraId="02016991" w14:textId="77777777" w:rsidR="00310096" w:rsidRDefault="00310096">
      <w:pPr>
        <w:pStyle w:val="Corpsdetexte"/>
        <w:spacing w:before="14"/>
      </w:pPr>
    </w:p>
    <w:p w14:paraId="0B3B7DF3" w14:textId="77777777" w:rsidR="00310096" w:rsidRDefault="00000000">
      <w:pPr>
        <w:pStyle w:val="Corpsdetexte"/>
        <w:ind w:left="1125" w:right="158" w:hanging="360"/>
        <w:jc w:val="both"/>
      </w:pPr>
      <w:r>
        <w:rPr>
          <w:rFonts w:ascii="Courier New" w:hAnsi="Courier New"/>
        </w:rPr>
        <w:t>o</w:t>
      </w:r>
      <w:r>
        <w:t xml:space="preserve">Article intitulé «Sely 2 entreprises figurent parmi les marques de luxe les plus précieuses au monde chaque année depuis 2000 — Gucci et Louis Vuitton», publié à l’adresse </w:t>
      </w:r>
      <w:hyperlink r:id="rId34">
        <w:r>
          <w:t>www.businessinsider.fr,</w:t>
        </w:r>
      </w:hyperlink>
      <w:r>
        <w:t xml:space="preserve"> le 30/10/2019.</w:t>
      </w:r>
    </w:p>
    <w:p w14:paraId="045B9572" w14:textId="77777777" w:rsidR="00310096" w:rsidRDefault="00310096">
      <w:pPr>
        <w:pStyle w:val="Corpsdetexte"/>
        <w:spacing w:before="18"/>
      </w:pPr>
    </w:p>
    <w:p w14:paraId="4880E96E" w14:textId="77777777" w:rsidR="00310096" w:rsidRDefault="00000000">
      <w:pPr>
        <w:pStyle w:val="Corpsdetexte"/>
        <w:ind w:left="1125" w:right="161" w:hanging="360"/>
        <w:jc w:val="both"/>
      </w:pPr>
      <w:r>
        <w:rPr>
          <w:rFonts w:ascii="Courier New" w:hAnsi="Courier New"/>
        </w:rPr>
        <w:t>o</w:t>
      </w:r>
      <w:r>
        <w:t>Diverses captures d’écran de publications de Lyst, dans lesquelles la marque de l’opposante est désignée parmi les principales marques de la catégorie</w:t>
      </w:r>
      <w:r>
        <w:rPr>
          <w:spacing w:val="80"/>
        </w:rPr>
        <w:t xml:space="preserve"> </w:t>
      </w:r>
      <w:r>
        <w:t>concernée. Les informations suivantes sont incluses:</w:t>
      </w:r>
    </w:p>
    <w:p w14:paraId="1488064C" w14:textId="77777777" w:rsidR="00310096" w:rsidRDefault="00310096">
      <w:pPr>
        <w:pStyle w:val="Corpsdetexte"/>
        <w:spacing w:before="17"/>
      </w:pPr>
    </w:p>
    <w:p w14:paraId="41663C52" w14:textId="77777777" w:rsidR="00310096" w:rsidRDefault="00000000">
      <w:pPr>
        <w:pStyle w:val="Corpsdetexte"/>
        <w:ind w:left="1867" w:right="724"/>
        <w:jc w:val="both"/>
      </w:pPr>
      <w:r>
        <w:t>le Lyst Index est un classement trimestriel des marques et produits d’hottest de mode. Pour compiler les résultats, la plateforme mondiale de recherche de mode Lyst analyse le comportement commercial en ligne de plus de cinq millions d’acheteurs un mois de recherche, de navigation et d’achat de mode sur 12 000 créateurs et magasins en ligne. La formule sous-tendant l’index tient compte des données de recherche mondiale Lyst et Google, des taux de conversion et des ventes, ainsi que des statistiques sur la marque et les réseaux sociaux produits dans le monde entier sur une période</w:t>
      </w:r>
      <w:r>
        <w:rPr>
          <w:spacing w:val="40"/>
        </w:rPr>
        <w:t xml:space="preserve"> </w:t>
      </w:r>
      <w:r>
        <w:t>de trois mois.</w:t>
      </w:r>
    </w:p>
    <w:p w14:paraId="0A24DDCC" w14:textId="77777777" w:rsidR="00310096" w:rsidRDefault="00000000">
      <w:pPr>
        <w:pStyle w:val="Corpsdetexte"/>
        <w:spacing w:before="252"/>
        <w:ind w:left="1298" w:right="158"/>
        <w:jc w:val="both"/>
      </w:pPr>
      <w:r>
        <w:rPr>
          <w:noProof/>
        </w:rPr>
        <w:drawing>
          <wp:anchor distT="0" distB="0" distL="0" distR="0" simplePos="0" relativeHeight="15731712" behindDoc="0" locked="0" layoutInCell="1" allowOverlap="1" wp14:anchorId="34EA995E" wp14:editId="270A770D">
            <wp:simplePos x="0" y="0"/>
            <wp:positionH relativeFrom="page">
              <wp:posOffset>1634489</wp:posOffset>
            </wp:positionH>
            <wp:positionV relativeFrom="paragraph">
              <wp:posOffset>1974174</wp:posOffset>
            </wp:positionV>
            <wp:extent cx="1033043" cy="109410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5" cstate="print"/>
                    <a:stretch>
                      <a:fillRect/>
                    </a:stretch>
                  </pic:blipFill>
                  <pic:spPr>
                    <a:xfrm>
                      <a:off x="0" y="0"/>
                      <a:ext cx="1033043" cy="1094105"/>
                    </a:xfrm>
                    <a:prstGeom prst="rect">
                      <a:avLst/>
                    </a:prstGeom>
                  </pic:spPr>
                </pic:pic>
              </a:graphicData>
            </a:graphic>
          </wp:anchor>
        </w:drawing>
      </w:r>
      <w:r>
        <w:t>Parexemple, dans l’article «Gucci ou Balenciaga: Quelle était la marque de</w:t>
      </w:r>
      <w:r>
        <w:rPr>
          <w:spacing w:val="40"/>
        </w:rPr>
        <w:t xml:space="preserve"> </w:t>
      </w:r>
      <w:r>
        <w:t xml:space="preserve">mode hottest en 2017?», disponible à l’adresse </w:t>
      </w:r>
      <w:hyperlink r:id="rId36">
        <w:r>
          <w:t>www.businessoffashion.com,</w:t>
        </w:r>
      </w:hyperlink>
      <w:r>
        <w:t xml:space="preserve"> la marque Gucci est classée en première position. L’article lui-même commente la visibilité et l’accessibilité des produits Gucci ainsi que sa traction sur les réseaux sociaux et son engagement en ligne. Dans l’indice «Lyst Index», la marque antérieure apparaît représentée sur un T-Shirt iconique</w:t>
      </w:r>
      <w:r>
        <w:rPr>
          <w:noProof/>
          <w:spacing w:val="-1"/>
        </w:rPr>
        <w:drawing>
          <wp:inline distT="0" distB="0" distL="0" distR="0" wp14:anchorId="578607A3" wp14:editId="4BDFD0DB">
            <wp:extent cx="1047533" cy="82104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7" cstate="print"/>
                    <a:stretch>
                      <a:fillRect/>
                    </a:stretch>
                  </pic:blipFill>
                  <pic:spPr>
                    <a:xfrm>
                      <a:off x="0" y="0"/>
                      <a:ext cx="1047533" cy="821042"/>
                    </a:xfrm>
                    <a:prstGeom prst="rect">
                      <a:avLst/>
                    </a:prstGeom>
                  </pic:spPr>
                </pic:pic>
              </a:graphicData>
            </a:graphic>
          </wp:inline>
        </w:drawing>
      </w:r>
      <w:r>
        <w:rPr>
          <w:rFonts w:ascii="Times New Roman" w:hAnsi="Times New Roman"/>
          <w:spacing w:val="-1"/>
        </w:rPr>
        <w:t xml:space="preserve"> </w:t>
      </w:r>
      <w:r>
        <w:t>, classé comme</w:t>
      </w:r>
      <w:r>
        <w:rPr>
          <w:spacing w:val="-4"/>
        </w:rPr>
        <w:t xml:space="preserve"> </w:t>
      </w:r>
      <w:r>
        <w:t>l’un</w:t>
      </w:r>
      <w:r>
        <w:rPr>
          <w:spacing w:val="-1"/>
        </w:rPr>
        <w:t xml:space="preserve"> </w:t>
      </w:r>
      <w:r>
        <w:t>des «produits de</w:t>
      </w:r>
      <w:r>
        <w:rPr>
          <w:spacing w:val="-2"/>
        </w:rPr>
        <w:t xml:space="preserve"> </w:t>
      </w:r>
      <w:r>
        <w:t>premier</w:t>
      </w:r>
      <w:r>
        <w:rPr>
          <w:spacing w:val="1"/>
        </w:rPr>
        <w:t xml:space="preserve"> </w:t>
      </w:r>
      <w:r>
        <w:t>plan</w:t>
      </w:r>
      <w:r>
        <w:rPr>
          <w:spacing w:val="-1"/>
        </w:rPr>
        <w:t xml:space="preserve"> </w:t>
      </w:r>
      <w:r>
        <w:t>de</w:t>
      </w:r>
      <w:r>
        <w:rPr>
          <w:spacing w:val="-1"/>
        </w:rPr>
        <w:t xml:space="preserve"> </w:t>
      </w:r>
      <w:r>
        <w:t>2017», sur</w:t>
      </w:r>
      <w:r>
        <w:rPr>
          <w:spacing w:val="-2"/>
        </w:rPr>
        <w:t xml:space="preserve"> </w:t>
      </w:r>
      <w:r>
        <w:t>un</w:t>
      </w:r>
      <w:r>
        <w:rPr>
          <w:spacing w:val="-1"/>
        </w:rPr>
        <w:t xml:space="preserve"> </w:t>
      </w:r>
      <w:r>
        <w:t>costume</w:t>
      </w:r>
      <w:r>
        <w:rPr>
          <w:spacing w:val="-2"/>
        </w:rPr>
        <w:t xml:space="preserve"> </w:t>
      </w:r>
      <w:r>
        <w:t>de</w:t>
      </w:r>
      <w:r>
        <w:rPr>
          <w:spacing w:val="-1"/>
        </w:rPr>
        <w:t xml:space="preserve"> </w:t>
      </w:r>
      <w:r>
        <w:rPr>
          <w:spacing w:val="-2"/>
        </w:rPr>
        <w:t>natation</w:t>
      </w:r>
    </w:p>
    <w:p w14:paraId="435DA3F1" w14:textId="77777777" w:rsidR="00310096" w:rsidRDefault="00310096">
      <w:pPr>
        <w:pStyle w:val="Corpsdetexte"/>
      </w:pPr>
    </w:p>
    <w:p w14:paraId="7A671D4E" w14:textId="77777777" w:rsidR="00310096" w:rsidRDefault="00310096">
      <w:pPr>
        <w:pStyle w:val="Corpsdetexte"/>
      </w:pPr>
    </w:p>
    <w:p w14:paraId="60DC217C" w14:textId="77777777" w:rsidR="00310096" w:rsidRDefault="00310096">
      <w:pPr>
        <w:pStyle w:val="Corpsdetexte"/>
      </w:pPr>
    </w:p>
    <w:p w14:paraId="77FD7E77" w14:textId="77777777" w:rsidR="00310096" w:rsidRDefault="00310096">
      <w:pPr>
        <w:pStyle w:val="Corpsdetexte"/>
      </w:pPr>
    </w:p>
    <w:p w14:paraId="52E99510" w14:textId="77777777" w:rsidR="00310096" w:rsidRDefault="00310096">
      <w:pPr>
        <w:pStyle w:val="Corpsdetexte"/>
        <w:spacing w:before="252"/>
      </w:pPr>
    </w:p>
    <w:p w14:paraId="66086E23" w14:textId="77777777" w:rsidR="00310096" w:rsidRDefault="00000000">
      <w:pPr>
        <w:pStyle w:val="Corpsdetexte"/>
        <w:ind w:left="1298" w:right="184" w:firstLine="1625"/>
      </w:pPr>
      <w:r>
        <w:t>,</w:t>
      </w:r>
      <w:r>
        <w:rPr>
          <w:spacing w:val="80"/>
        </w:rPr>
        <w:t xml:space="preserve"> </w:t>
      </w:r>
      <w:r>
        <w:t>classé</w:t>
      </w:r>
      <w:r>
        <w:rPr>
          <w:spacing w:val="80"/>
        </w:rPr>
        <w:t xml:space="preserve"> </w:t>
      </w:r>
      <w:r>
        <w:t>comme</w:t>
      </w:r>
      <w:r>
        <w:rPr>
          <w:spacing w:val="80"/>
        </w:rPr>
        <w:t xml:space="preserve"> </w:t>
      </w:r>
      <w:r>
        <w:t>l’un</w:t>
      </w:r>
      <w:r>
        <w:rPr>
          <w:spacing w:val="80"/>
        </w:rPr>
        <w:t xml:space="preserve"> </w:t>
      </w:r>
      <w:r>
        <w:t>des</w:t>
      </w:r>
      <w:r>
        <w:rPr>
          <w:spacing w:val="80"/>
        </w:rPr>
        <w:t xml:space="preserve"> </w:t>
      </w:r>
      <w:r>
        <w:t>«produits</w:t>
      </w:r>
      <w:r>
        <w:rPr>
          <w:spacing w:val="80"/>
        </w:rPr>
        <w:t xml:space="preserve"> </w:t>
      </w:r>
      <w:r>
        <w:t>féminins</w:t>
      </w:r>
      <w:r>
        <w:rPr>
          <w:spacing w:val="80"/>
        </w:rPr>
        <w:t xml:space="preserve"> </w:t>
      </w:r>
      <w:r>
        <w:t>hottest»</w:t>
      </w:r>
      <w:r>
        <w:rPr>
          <w:spacing w:val="80"/>
        </w:rPr>
        <w:t xml:space="preserve"> </w:t>
      </w:r>
      <w:r>
        <w:t>au</w:t>
      </w:r>
      <w:r>
        <w:rPr>
          <w:spacing w:val="40"/>
        </w:rPr>
        <w:t xml:space="preserve"> </w:t>
      </w:r>
      <w:r>
        <w:t>T2</w:t>
      </w:r>
      <w:r>
        <w:rPr>
          <w:spacing w:val="-6"/>
        </w:rPr>
        <w:t xml:space="preserve"> </w:t>
      </w:r>
      <w:r>
        <w:t>2018,</w:t>
      </w:r>
      <w:r>
        <w:rPr>
          <w:spacing w:val="16"/>
        </w:rPr>
        <w:t xml:space="preserve"> </w:t>
      </w:r>
      <w:r>
        <w:t>sur</w:t>
      </w:r>
      <w:r>
        <w:rPr>
          <w:spacing w:val="16"/>
        </w:rPr>
        <w:t xml:space="preserve"> </w:t>
      </w:r>
      <w:r>
        <w:t>un</w:t>
      </w:r>
      <w:r>
        <w:rPr>
          <w:spacing w:val="15"/>
        </w:rPr>
        <w:t xml:space="preserve"> </w:t>
      </w:r>
      <w:r>
        <w:t>sac</w:t>
      </w:r>
      <w:r>
        <w:rPr>
          <w:spacing w:val="15"/>
        </w:rPr>
        <w:t xml:space="preserve"> </w:t>
      </w:r>
      <w:r>
        <w:t>à</w:t>
      </w:r>
      <w:r>
        <w:rPr>
          <w:spacing w:val="10"/>
        </w:rPr>
        <w:t xml:space="preserve"> </w:t>
      </w:r>
      <w:r>
        <w:t>main</w:t>
      </w:r>
      <w:r>
        <w:rPr>
          <w:spacing w:val="15"/>
        </w:rPr>
        <w:t xml:space="preserve"> </w:t>
      </w:r>
      <w:r>
        <w:t>au</w:t>
      </w:r>
      <w:r>
        <w:rPr>
          <w:spacing w:val="17"/>
        </w:rPr>
        <w:t xml:space="preserve"> </w:t>
      </w:r>
      <w:r>
        <w:rPr>
          <w:noProof/>
          <w:spacing w:val="19"/>
        </w:rPr>
        <w:drawing>
          <wp:inline distT="0" distB="0" distL="0" distR="0" wp14:anchorId="645C36D3" wp14:editId="40B0319E">
            <wp:extent cx="786764" cy="79987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786764" cy="799871"/>
                    </a:xfrm>
                    <a:prstGeom prst="rect">
                      <a:avLst/>
                    </a:prstGeom>
                  </pic:spPr>
                </pic:pic>
              </a:graphicData>
            </a:graphic>
          </wp:inline>
        </w:drawing>
      </w:r>
      <w:r>
        <w:t>T4</w:t>
      </w:r>
      <w:r>
        <w:rPr>
          <w:spacing w:val="-4"/>
        </w:rPr>
        <w:t xml:space="preserve"> </w:t>
      </w:r>
      <w:r>
        <w:t>2018</w:t>
      </w:r>
      <w:r>
        <w:rPr>
          <w:spacing w:val="15"/>
        </w:rPr>
        <w:t xml:space="preserve"> </w:t>
      </w:r>
      <w:r>
        <w:t>de</w:t>
      </w:r>
      <w:r>
        <w:rPr>
          <w:spacing w:val="15"/>
        </w:rPr>
        <w:t xml:space="preserve"> </w:t>
      </w:r>
      <w:r>
        <w:t>«produits</w:t>
      </w:r>
      <w:r>
        <w:rPr>
          <w:spacing w:val="15"/>
        </w:rPr>
        <w:t xml:space="preserve"> </w:t>
      </w:r>
      <w:r>
        <w:t>pour</w:t>
      </w:r>
      <w:r>
        <w:rPr>
          <w:spacing w:val="14"/>
        </w:rPr>
        <w:t xml:space="preserve"> </w:t>
      </w:r>
      <w:r>
        <w:rPr>
          <w:spacing w:val="-2"/>
        </w:rPr>
        <w:t>femmes</w:t>
      </w:r>
    </w:p>
    <w:p w14:paraId="6C76210F" w14:textId="77777777" w:rsidR="00310096" w:rsidRDefault="00310096">
      <w:pPr>
        <w:pStyle w:val="Corpsdetexte"/>
        <w:sectPr w:rsidR="00310096">
          <w:pgSz w:w="11910" w:h="16840"/>
          <w:pgMar w:top="1000" w:right="1275" w:bottom="280" w:left="1275" w:header="727" w:footer="0" w:gutter="0"/>
          <w:cols w:space="720"/>
        </w:sectPr>
      </w:pPr>
    </w:p>
    <w:p w14:paraId="0ADF2F51" w14:textId="77777777" w:rsidR="00310096" w:rsidRDefault="00000000">
      <w:pPr>
        <w:pStyle w:val="Corpsdetexte"/>
        <w:spacing w:before="181"/>
      </w:pPr>
      <w:r>
        <w:rPr>
          <w:noProof/>
        </w:rPr>
        <w:lastRenderedPageBreak/>
        <mc:AlternateContent>
          <mc:Choice Requires="wps">
            <w:drawing>
              <wp:anchor distT="0" distB="0" distL="0" distR="0" simplePos="0" relativeHeight="15733248" behindDoc="0" locked="0" layoutInCell="1" allowOverlap="1" wp14:anchorId="426C42A1" wp14:editId="4E44F839">
                <wp:simplePos x="0" y="0"/>
                <wp:positionH relativeFrom="page">
                  <wp:posOffset>270575</wp:posOffset>
                </wp:positionH>
                <wp:positionV relativeFrom="page">
                  <wp:posOffset>1114363</wp:posOffset>
                </wp:positionV>
                <wp:extent cx="146050" cy="92100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625355D1"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33248" type="#_x0000_t202" id="docshape23"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2F26FB70" w14:textId="77777777" w:rsidR="00310096" w:rsidRDefault="00000000">
      <w:pPr>
        <w:pStyle w:val="Corpsdetexte"/>
        <w:ind w:left="1298"/>
      </w:pPr>
      <w:r>
        <w:rPr>
          <w:noProof/>
        </w:rPr>
        <w:drawing>
          <wp:anchor distT="0" distB="0" distL="0" distR="0" simplePos="0" relativeHeight="15732736" behindDoc="0" locked="0" layoutInCell="1" allowOverlap="1" wp14:anchorId="46F38576" wp14:editId="0753E925">
            <wp:simplePos x="0" y="0"/>
            <wp:positionH relativeFrom="page">
              <wp:posOffset>1634489</wp:posOffset>
            </wp:positionH>
            <wp:positionV relativeFrom="paragraph">
              <wp:posOffset>192667</wp:posOffset>
            </wp:positionV>
            <wp:extent cx="1543558" cy="203962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1543558" cy="2039624"/>
                    </a:xfrm>
                    <a:prstGeom prst="rect">
                      <a:avLst/>
                    </a:prstGeom>
                  </pic:spPr>
                </pic:pic>
              </a:graphicData>
            </a:graphic>
          </wp:anchor>
        </w:drawing>
      </w:r>
      <w:r>
        <w:t>d’hottest»</w:t>
      </w:r>
      <w:r>
        <w:rPr>
          <w:spacing w:val="69"/>
        </w:rPr>
        <w:t xml:space="preserve"> </w:t>
      </w:r>
      <w:r>
        <w:t>et</w:t>
      </w:r>
      <w:r>
        <w:rPr>
          <w:spacing w:val="69"/>
        </w:rPr>
        <w:t xml:space="preserve"> </w:t>
      </w:r>
      <w:r>
        <w:t>sur</w:t>
      </w:r>
      <w:r>
        <w:rPr>
          <w:spacing w:val="69"/>
        </w:rPr>
        <w:t xml:space="preserve"> </w:t>
      </w:r>
      <w:r>
        <w:t>un</w:t>
      </w:r>
      <w:r>
        <w:rPr>
          <w:spacing w:val="71"/>
        </w:rPr>
        <w:t xml:space="preserve"> </w:t>
      </w:r>
      <w:r>
        <w:t>autre</w:t>
      </w:r>
      <w:r>
        <w:rPr>
          <w:spacing w:val="68"/>
        </w:rPr>
        <w:t xml:space="preserve"> </w:t>
      </w:r>
      <w:r>
        <w:t>T-shirt</w:t>
      </w:r>
      <w:r>
        <w:rPr>
          <w:spacing w:val="72"/>
        </w:rPr>
        <w:t xml:space="preserve"> </w:t>
      </w:r>
      <w:r>
        <w:t>pour</w:t>
      </w:r>
      <w:r>
        <w:rPr>
          <w:spacing w:val="69"/>
        </w:rPr>
        <w:t xml:space="preserve"> </w:t>
      </w:r>
      <w:r>
        <w:t>la</w:t>
      </w:r>
      <w:r>
        <w:rPr>
          <w:spacing w:val="71"/>
        </w:rPr>
        <w:t xml:space="preserve"> </w:t>
      </w:r>
      <w:r>
        <w:t>période</w:t>
      </w:r>
      <w:r>
        <w:rPr>
          <w:spacing w:val="70"/>
        </w:rPr>
        <w:t xml:space="preserve"> </w:t>
      </w:r>
      <w:r>
        <w:t>2017-2018,</w:t>
      </w:r>
      <w:r>
        <w:rPr>
          <w:spacing w:val="72"/>
        </w:rPr>
        <w:t xml:space="preserve"> </w:t>
      </w:r>
      <w:r>
        <w:t>comme</w:t>
      </w:r>
      <w:r>
        <w:rPr>
          <w:spacing w:val="71"/>
        </w:rPr>
        <w:t xml:space="preserve"> </w:t>
      </w:r>
      <w:r>
        <w:rPr>
          <w:spacing w:val="-2"/>
        </w:rPr>
        <w:t>suit:</w:t>
      </w:r>
    </w:p>
    <w:p w14:paraId="0588B655" w14:textId="77777777" w:rsidR="00310096" w:rsidRDefault="00310096">
      <w:pPr>
        <w:pStyle w:val="Corpsdetexte"/>
      </w:pPr>
    </w:p>
    <w:p w14:paraId="68C788A8" w14:textId="77777777" w:rsidR="00310096" w:rsidRDefault="00310096">
      <w:pPr>
        <w:pStyle w:val="Corpsdetexte"/>
      </w:pPr>
    </w:p>
    <w:p w14:paraId="49D2948F" w14:textId="77777777" w:rsidR="00310096" w:rsidRDefault="00310096">
      <w:pPr>
        <w:pStyle w:val="Corpsdetexte"/>
      </w:pPr>
    </w:p>
    <w:p w14:paraId="2E9A11A2" w14:textId="77777777" w:rsidR="00310096" w:rsidRDefault="00310096">
      <w:pPr>
        <w:pStyle w:val="Corpsdetexte"/>
      </w:pPr>
    </w:p>
    <w:p w14:paraId="67A34BF7" w14:textId="77777777" w:rsidR="00310096" w:rsidRDefault="00310096">
      <w:pPr>
        <w:pStyle w:val="Corpsdetexte"/>
      </w:pPr>
    </w:p>
    <w:p w14:paraId="7EA633F2" w14:textId="77777777" w:rsidR="00310096" w:rsidRDefault="00310096">
      <w:pPr>
        <w:pStyle w:val="Corpsdetexte"/>
      </w:pPr>
    </w:p>
    <w:p w14:paraId="4923B65C" w14:textId="77777777" w:rsidR="00310096" w:rsidRDefault="00310096">
      <w:pPr>
        <w:pStyle w:val="Corpsdetexte"/>
      </w:pPr>
    </w:p>
    <w:p w14:paraId="7A17D38A" w14:textId="77777777" w:rsidR="00310096" w:rsidRDefault="00310096">
      <w:pPr>
        <w:pStyle w:val="Corpsdetexte"/>
      </w:pPr>
    </w:p>
    <w:p w14:paraId="7F1B5974" w14:textId="77777777" w:rsidR="00310096" w:rsidRDefault="00310096">
      <w:pPr>
        <w:pStyle w:val="Corpsdetexte"/>
      </w:pPr>
    </w:p>
    <w:p w14:paraId="5743AEF3" w14:textId="77777777" w:rsidR="00310096" w:rsidRDefault="00310096">
      <w:pPr>
        <w:pStyle w:val="Corpsdetexte"/>
      </w:pPr>
    </w:p>
    <w:p w14:paraId="5A9B8B33" w14:textId="77777777" w:rsidR="00310096" w:rsidRDefault="00310096">
      <w:pPr>
        <w:pStyle w:val="Corpsdetexte"/>
      </w:pPr>
    </w:p>
    <w:p w14:paraId="1C380516" w14:textId="77777777" w:rsidR="00310096" w:rsidRDefault="00310096">
      <w:pPr>
        <w:pStyle w:val="Corpsdetexte"/>
        <w:spacing w:before="21"/>
      </w:pPr>
    </w:p>
    <w:p w14:paraId="2C27E380" w14:textId="77777777" w:rsidR="00310096" w:rsidRDefault="00000000">
      <w:pPr>
        <w:ind w:left="4" w:right="1841"/>
        <w:jc w:val="center"/>
      </w:pPr>
      <w:r>
        <w:rPr>
          <w:spacing w:val="-10"/>
        </w:rPr>
        <w:t>.</w:t>
      </w:r>
    </w:p>
    <w:p w14:paraId="114F7C6C" w14:textId="77777777" w:rsidR="00310096" w:rsidRDefault="00000000">
      <w:pPr>
        <w:pStyle w:val="Corpsdetexte"/>
        <w:spacing w:before="252"/>
        <w:ind w:left="165" w:right="160"/>
        <w:jc w:val="both"/>
      </w:pPr>
      <w:r>
        <w:t xml:space="preserve">Capture d’écran de l’article intitulé «The Most Popular Luxury Brands In 2023», édité par Ceoworld Magazine on RankingRoyals.com, où la marque </w:t>
      </w:r>
      <w:r>
        <w:rPr>
          <w:noProof/>
          <w:spacing w:val="-11"/>
          <w:position w:val="1"/>
        </w:rPr>
        <w:drawing>
          <wp:inline distT="0" distB="0" distL="0" distR="0" wp14:anchorId="3923EBC9" wp14:editId="32195277">
            <wp:extent cx="807808" cy="18392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807808" cy="183922"/>
                    </a:xfrm>
                    <a:prstGeom prst="rect">
                      <a:avLst/>
                    </a:prstGeom>
                  </pic:spPr>
                </pic:pic>
              </a:graphicData>
            </a:graphic>
          </wp:inline>
        </w:drawing>
      </w:r>
      <w:r>
        <w:t>apparaît en</w:t>
      </w:r>
      <w:r>
        <w:rPr>
          <w:spacing w:val="40"/>
        </w:rPr>
        <w:t xml:space="preserve"> </w:t>
      </w:r>
      <w:r>
        <w:t>première position.</w:t>
      </w:r>
    </w:p>
    <w:p w14:paraId="3164E352" w14:textId="77777777" w:rsidR="00310096" w:rsidRDefault="00310096">
      <w:pPr>
        <w:pStyle w:val="Corpsdetexte"/>
        <w:spacing w:before="14"/>
      </w:pPr>
    </w:p>
    <w:p w14:paraId="0671A173" w14:textId="77777777" w:rsidR="00310096" w:rsidRDefault="00000000">
      <w:pPr>
        <w:pStyle w:val="Corpsdetexte"/>
        <w:ind w:left="165" w:right="160"/>
        <w:jc w:val="both"/>
      </w:pPr>
      <w:r>
        <w:rPr>
          <w:rFonts w:ascii="Arial" w:hAnsi="Arial"/>
          <w:b/>
        </w:rPr>
        <w:t xml:space="preserve">Annexe 6: </w:t>
      </w:r>
      <w:r>
        <w:t>des copies d’articles contenant des références à la renommée et aux activités promotionnelles de l’opposante dans le secteur de la mode, datées de 2018 et 2020; La plupart des articles contiennent des images ou des références textuelles à la marque antérieure de l’opposante.</w:t>
      </w:r>
    </w:p>
    <w:p w14:paraId="504B7864" w14:textId="77777777" w:rsidR="00310096" w:rsidRDefault="00310096">
      <w:pPr>
        <w:pStyle w:val="Corpsdetexte"/>
        <w:spacing w:before="14"/>
      </w:pPr>
    </w:p>
    <w:p w14:paraId="7A567655" w14:textId="77777777" w:rsidR="00310096" w:rsidRDefault="00000000">
      <w:pPr>
        <w:pStyle w:val="Paragraphedeliste"/>
        <w:numPr>
          <w:ilvl w:val="0"/>
          <w:numId w:val="2"/>
        </w:numPr>
        <w:tabs>
          <w:tab w:val="left" w:pos="1296"/>
          <w:tab w:val="left" w:pos="1298"/>
        </w:tabs>
        <w:ind w:left="1298" w:right="164" w:hanging="567"/>
      </w:pPr>
      <w:r>
        <w:t>Un article intitulé «as logo mania heats from the runway, Les revendeurs</w:t>
      </w:r>
      <w:r>
        <w:rPr>
          <w:spacing w:val="80"/>
        </w:rPr>
        <w:t xml:space="preserve"> </w:t>
      </w:r>
      <w:r>
        <w:t>sortants</w:t>
      </w:r>
      <w:r>
        <w:rPr>
          <w:spacing w:val="-4"/>
        </w:rPr>
        <w:t xml:space="preserve"> </w:t>
      </w:r>
      <w:r>
        <w:t>de</w:t>
      </w:r>
      <w:r>
        <w:rPr>
          <w:spacing w:val="-4"/>
        </w:rPr>
        <w:t xml:space="preserve"> </w:t>
      </w:r>
      <w:r>
        <w:t>certains</w:t>
      </w:r>
      <w:r>
        <w:rPr>
          <w:spacing w:val="-1"/>
        </w:rPr>
        <w:t xml:space="preserve"> </w:t>
      </w:r>
      <w:r>
        <w:t>avantages»,</w:t>
      </w:r>
      <w:r>
        <w:rPr>
          <w:spacing w:val="-2"/>
        </w:rPr>
        <w:t xml:space="preserve"> </w:t>
      </w:r>
      <w:r>
        <w:t>publié</w:t>
      </w:r>
      <w:r>
        <w:rPr>
          <w:spacing w:val="-1"/>
        </w:rPr>
        <w:t xml:space="preserve"> </w:t>
      </w:r>
      <w:r>
        <w:t>à</w:t>
      </w:r>
      <w:r>
        <w:rPr>
          <w:spacing w:val="-4"/>
        </w:rPr>
        <w:t xml:space="preserve"> </w:t>
      </w:r>
      <w:r>
        <w:t>l’adresse</w:t>
      </w:r>
      <w:r>
        <w:rPr>
          <w:spacing w:val="-1"/>
        </w:rPr>
        <w:t xml:space="preserve"> </w:t>
      </w:r>
      <w:hyperlink r:id="rId41">
        <w:r>
          <w:t>www.fashionista.com,</w:t>
        </w:r>
      </w:hyperlink>
      <w:r>
        <w:rPr>
          <w:spacing w:val="-2"/>
        </w:rPr>
        <w:t xml:space="preserve"> </w:t>
      </w:r>
      <w:r>
        <w:t>et</w:t>
      </w:r>
      <w:r>
        <w:rPr>
          <w:spacing w:val="-3"/>
        </w:rPr>
        <w:t xml:space="preserve"> </w:t>
      </w:r>
      <w:r>
        <w:t>daté du 10/01/2018. Dans ce contexte, la tendance de relancer le logo Gucci sur les tee-shirts, (illustrés comme</w:t>
      </w:r>
      <w:r>
        <w:rPr>
          <w:noProof/>
          <w:spacing w:val="-1"/>
        </w:rPr>
        <w:drawing>
          <wp:inline distT="0" distB="0" distL="0" distR="0" wp14:anchorId="107D6DE9" wp14:editId="36EE2C7B">
            <wp:extent cx="741679" cy="132613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stretch>
                      <a:fillRect/>
                    </a:stretch>
                  </pic:blipFill>
                  <pic:spPr>
                    <a:xfrm>
                      <a:off x="0" y="0"/>
                      <a:ext cx="741679" cy="1326134"/>
                    </a:xfrm>
                    <a:prstGeom prst="rect">
                      <a:avLst/>
                    </a:prstGeom>
                  </pic:spPr>
                </pic:pic>
              </a:graphicData>
            </a:graphic>
          </wp:inline>
        </w:drawing>
      </w:r>
      <w:r>
        <w:t>) et monogrammé est discutée.</w:t>
      </w:r>
    </w:p>
    <w:p w14:paraId="62068B32" w14:textId="77777777" w:rsidR="00310096" w:rsidRDefault="00000000">
      <w:pPr>
        <w:pStyle w:val="Paragraphedeliste"/>
        <w:numPr>
          <w:ilvl w:val="0"/>
          <w:numId w:val="2"/>
        </w:numPr>
        <w:tabs>
          <w:tab w:val="left" w:pos="1296"/>
          <w:tab w:val="left" w:pos="1298"/>
        </w:tabs>
        <w:spacing w:before="252"/>
        <w:ind w:left="1298" w:right="160" w:hanging="567"/>
      </w:pPr>
      <w:r>
        <w:t xml:space="preserve">Un article intitulé «The Gucci double-G, un echo of eternity», publié à l’adresse </w:t>
      </w:r>
      <w:hyperlink r:id="rId43">
        <w:r>
          <w:t>www.icon-icon.com,</w:t>
        </w:r>
      </w:hyperlink>
      <w:r>
        <w:t xml:space="preserve"> daté du 20/07/2020. Selon cette disposition,</w:t>
      </w:r>
    </w:p>
    <w:p w14:paraId="3016E1CB" w14:textId="77777777" w:rsidR="00310096" w:rsidRDefault="00310096">
      <w:pPr>
        <w:pStyle w:val="Corpsdetexte"/>
        <w:spacing w:before="2"/>
      </w:pPr>
    </w:p>
    <w:p w14:paraId="78E10069" w14:textId="77777777" w:rsidR="00310096" w:rsidRDefault="00000000">
      <w:pPr>
        <w:pStyle w:val="Corpsdetexte"/>
        <w:ind w:left="1867" w:right="726"/>
        <w:jc w:val="both"/>
      </w:pPr>
      <w:r>
        <w:t>l’emblème des deux</w:t>
      </w:r>
      <w:r>
        <w:rPr>
          <w:spacing w:val="-1"/>
        </w:rPr>
        <w:t xml:space="preserve"> </w:t>
      </w:r>
      <w:r>
        <w:t>logos «G» est souvent considéré comme le</w:t>
      </w:r>
      <w:r>
        <w:rPr>
          <w:spacing w:val="-1"/>
        </w:rPr>
        <w:t xml:space="preserve"> </w:t>
      </w:r>
      <w:r>
        <w:t>logo le plus populaire et le plus reconnu au niveau international. Initialement utilisée comme fermoir de sac [...], le logo est composé de deux serrures représentées par les initiales de Guccio Gucci.</w:t>
      </w:r>
      <w:r>
        <w:rPr>
          <w:spacing w:val="-4"/>
        </w:rPr>
        <w:t xml:space="preserve"> </w:t>
      </w:r>
      <w:r>
        <w:t>[...] Quelle que soit sa déclinaison, le «double G» a pu traverser des générations, qu’il soit fait de couleur dorée, crocodile, estampillé sur suede, tissé sur soie ou désormais habillage pour ordinateurs et</w:t>
      </w:r>
      <w:r>
        <w:rPr>
          <w:spacing w:val="40"/>
        </w:rPr>
        <w:t xml:space="preserve"> </w:t>
      </w:r>
      <w:r>
        <w:t>iPad, est le lien entre le patrimoine riche du début et l’avenir de l’étiquette Gucci.</w:t>
      </w:r>
    </w:p>
    <w:p w14:paraId="6AD9A9EA" w14:textId="77777777" w:rsidR="00310096" w:rsidRDefault="00000000">
      <w:pPr>
        <w:pStyle w:val="Paragraphedeliste"/>
        <w:numPr>
          <w:ilvl w:val="0"/>
          <w:numId w:val="2"/>
        </w:numPr>
        <w:tabs>
          <w:tab w:val="left" w:pos="1296"/>
          <w:tab w:val="left" w:pos="1298"/>
        </w:tabs>
        <w:spacing w:before="251"/>
        <w:ind w:left="1298" w:right="161" w:hanging="567"/>
      </w:pPr>
      <w:r>
        <w:t>Un article intitulé «Logomania: l’histoire du logo Gucci», publiée le 01/05/2020, auhula.com, où il est indiqué que «Gucci possède actuellement l’un des logos</w:t>
      </w:r>
      <w:r>
        <w:rPr>
          <w:spacing w:val="40"/>
        </w:rPr>
        <w:t xml:space="preserve"> </w:t>
      </w:r>
      <w:r>
        <w:t>les plus emblématiques dans l’histoire de mode». L’article mentionne également que le logo a été enregistré pour la première fois en tant que marque en 1955 et</w:t>
      </w:r>
    </w:p>
    <w:p w14:paraId="3B5853E5" w14:textId="77777777" w:rsidR="00310096" w:rsidRDefault="00310096">
      <w:pPr>
        <w:pStyle w:val="Paragraphedeliste"/>
        <w:sectPr w:rsidR="00310096">
          <w:pgSz w:w="11910" w:h="16840"/>
          <w:pgMar w:top="1000" w:right="1275" w:bottom="280" w:left="1275" w:header="727" w:footer="0" w:gutter="0"/>
          <w:cols w:space="720"/>
        </w:sectPr>
      </w:pPr>
    </w:p>
    <w:p w14:paraId="46974298" w14:textId="77777777" w:rsidR="00310096" w:rsidRDefault="00000000">
      <w:pPr>
        <w:pStyle w:val="Corpsdetexte"/>
        <w:spacing w:before="181"/>
      </w:pPr>
      <w:r>
        <w:rPr>
          <w:noProof/>
        </w:rPr>
        <w:lastRenderedPageBreak/>
        <mc:AlternateContent>
          <mc:Choice Requires="wps">
            <w:drawing>
              <wp:anchor distT="0" distB="0" distL="0" distR="0" simplePos="0" relativeHeight="15734784" behindDoc="0" locked="0" layoutInCell="1" allowOverlap="1" wp14:anchorId="6A2D444C" wp14:editId="65A1FABD">
                <wp:simplePos x="0" y="0"/>
                <wp:positionH relativeFrom="page">
                  <wp:posOffset>270575</wp:posOffset>
                </wp:positionH>
                <wp:positionV relativeFrom="page">
                  <wp:posOffset>1114363</wp:posOffset>
                </wp:positionV>
                <wp:extent cx="146050" cy="92100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2E4D7B4A"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34784" type="#_x0000_t202" id="docshape24"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33E2A938" w14:textId="77777777" w:rsidR="00310096" w:rsidRDefault="00000000">
      <w:pPr>
        <w:pStyle w:val="Corpsdetexte"/>
        <w:ind w:left="1298" w:right="158"/>
        <w:jc w:val="both"/>
      </w:pPr>
      <w:r>
        <w:t>«a</w:t>
      </w:r>
      <w:r>
        <w:rPr>
          <w:spacing w:val="-2"/>
        </w:rPr>
        <w:t xml:space="preserve"> </w:t>
      </w:r>
      <w:r>
        <w:t>été</w:t>
      </w:r>
      <w:r>
        <w:rPr>
          <w:spacing w:val="-2"/>
        </w:rPr>
        <w:t xml:space="preserve"> </w:t>
      </w:r>
      <w:r>
        <w:t>utilisé</w:t>
      </w:r>
      <w:r>
        <w:rPr>
          <w:spacing w:val="-2"/>
        </w:rPr>
        <w:t xml:space="preserve"> </w:t>
      </w:r>
      <w:r>
        <w:t>comme</w:t>
      </w:r>
      <w:r>
        <w:rPr>
          <w:spacing w:val="-2"/>
        </w:rPr>
        <w:t xml:space="preserve"> </w:t>
      </w:r>
      <w:r>
        <w:t>impression</w:t>
      </w:r>
      <w:r>
        <w:rPr>
          <w:spacing w:val="-2"/>
        </w:rPr>
        <w:t xml:space="preserve"> </w:t>
      </w:r>
      <w:r>
        <w:t>sur</w:t>
      </w:r>
      <w:r>
        <w:rPr>
          <w:spacing w:val="-3"/>
        </w:rPr>
        <w:t xml:space="preserve"> </w:t>
      </w:r>
      <w:r>
        <w:t>toile,</w:t>
      </w:r>
      <w:r>
        <w:rPr>
          <w:spacing w:val="-3"/>
        </w:rPr>
        <w:t xml:space="preserve"> </w:t>
      </w:r>
      <w:r>
        <w:t>sacs,</w:t>
      </w:r>
      <w:r>
        <w:rPr>
          <w:spacing w:val="-1"/>
        </w:rPr>
        <w:t xml:space="preserve"> </w:t>
      </w:r>
      <w:r>
        <w:t>bagages,</w:t>
      </w:r>
      <w:r>
        <w:rPr>
          <w:spacing w:val="-1"/>
        </w:rPr>
        <w:t xml:space="preserve"> </w:t>
      </w:r>
      <w:r>
        <w:t>petits</w:t>
      </w:r>
      <w:r>
        <w:rPr>
          <w:spacing w:val="-2"/>
        </w:rPr>
        <w:t xml:space="preserve"> </w:t>
      </w:r>
      <w:r>
        <w:t>articles</w:t>
      </w:r>
      <w:r>
        <w:rPr>
          <w:spacing w:val="-2"/>
        </w:rPr>
        <w:t xml:space="preserve"> </w:t>
      </w:r>
      <w:r>
        <w:t>en</w:t>
      </w:r>
      <w:r>
        <w:rPr>
          <w:spacing w:val="-4"/>
        </w:rPr>
        <w:t xml:space="preserve"> </w:t>
      </w:r>
      <w:r>
        <w:t>cuir</w:t>
      </w:r>
      <w:r>
        <w:rPr>
          <w:spacing w:val="-2"/>
        </w:rPr>
        <w:t xml:space="preserve"> </w:t>
      </w:r>
      <w:r>
        <w:t>et modèles de vêtements initiaux au début des années 1960. Cette impression utilise le logo avec de légères modifications: G est le côté droit et l’autre se trouve à l’envers. Il s’agit de la forme imprimée du logo que nous connaissons le plus aujourd’hui». L’article indique en outre</w:t>
      </w:r>
      <w:r>
        <w:rPr>
          <w:spacing w:val="-2"/>
        </w:rPr>
        <w:t xml:space="preserve"> </w:t>
      </w:r>
      <w:r>
        <w:t>que la marque continue de se</w:t>
      </w:r>
      <w:r>
        <w:rPr>
          <w:spacing w:val="-2"/>
        </w:rPr>
        <w:t xml:space="preserve"> </w:t>
      </w:r>
      <w:r>
        <w:t>former en tant qu’icône de luxe et de s’appuyer sur son logo avec des relaures de style vieux ou en revalisant ses sacs monogrammés.</w:t>
      </w:r>
    </w:p>
    <w:p w14:paraId="1982A7AE" w14:textId="77777777" w:rsidR="00310096" w:rsidRDefault="00310096">
      <w:pPr>
        <w:pStyle w:val="Corpsdetexte"/>
      </w:pPr>
    </w:p>
    <w:p w14:paraId="44678BFD" w14:textId="77777777" w:rsidR="00310096" w:rsidRDefault="00000000">
      <w:pPr>
        <w:pStyle w:val="Corpsdetexte"/>
        <w:ind w:left="165" w:right="158"/>
        <w:jc w:val="both"/>
      </w:pPr>
      <w:r>
        <w:rPr>
          <w:noProof/>
        </w:rPr>
        <w:drawing>
          <wp:anchor distT="0" distB="0" distL="0" distR="0" simplePos="0" relativeHeight="15734272" behindDoc="0" locked="0" layoutInCell="1" allowOverlap="1" wp14:anchorId="121D0A6A" wp14:editId="7F25519B">
            <wp:simplePos x="0" y="0"/>
            <wp:positionH relativeFrom="page">
              <wp:posOffset>914400</wp:posOffset>
            </wp:positionH>
            <wp:positionV relativeFrom="paragraph">
              <wp:posOffset>2550359</wp:posOffset>
            </wp:positionV>
            <wp:extent cx="1704060" cy="108356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4" cstate="print"/>
                    <a:stretch>
                      <a:fillRect/>
                    </a:stretch>
                  </pic:blipFill>
                  <pic:spPr>
                    <a:xfrm>
                      <a:off x="0" y="0"/>
                      <a:ext cx="1704060" cy="1083564"/>
                    </a:xfrm>
                    <a:prstGeom prst="rect">
                      <a:avLst/>
                    </a:prstGeom>
                  </pic:spPr>
                </pic:pic>
              </a:graphicData>
            </a:graphic>
          </wp:anchor>
        </w:drawing>
      </w:r>
      <w:r>
        <w:rPr>
          <w:rFonts w:ascii="Arial" w:hAnsi="Arial"/>
          <w:b/>
        </w:rPr>
        <w:t xml:space="preserve">Annexe 7: </w:t>
      </w:r>
      <w:r>
        <w:t>une sélection de spécialistes et de publicité issus de magazines et de publications en ligne, principalement pour les années 2016-2023, publiée en France (par exemple Grazia, L’Officiel, Le point), en Italie (par exemple Amica, Grazia, IO Donna, La Repubblica, Elle, Vanity Fair), Espagne (Alternativas, Instyle, El País), Allemagne (Bestseller, Bunte, Elle, GQ, Highsnipros), Ainsi qu’il ressort des extraits de publications, la marque antérieure analysée apparaît sur divers produits (vêtements, sacs et accessoires de mode qui sont représentés comme des illustrations dans des articles ou sur diverses pages de couverture:</w:t>
      </w:r>
    </w:p>
    <w:p w14:paraId="53723137" w14:textId="77777777" w:rsidR="00310096" w:rsidRDefault="00000000">
      <w:pPr>
        <w:pStyle w:val="Corpsdetexte"/>
        <w:spacing w:before="16"/>
        <w:rPr>
          <w:sz w:val="20"/>
        </w:rPr>
      </w:pPr>
      <w:r>
        <w:rPr>
          <w:noProof/>
          <w:sz w:val="20"/>
        </w:rPr>
        <mc:AlternateContent>
          <mc:Choice Requires="wps">
            <w:drawing>
              <wp:anchor distT="0" distB="0" distL="0" distR="0" simplePos="0" relativeHeight="487592960" behindDoc="1" locked="0" layoutInCell="1" allowOverlap="1" wp14:anchorId="55B8A3FD" wp14:editId="27780458">
                <wp:simplePos x="0" y="0"/>
                <wp:positionH relativeFrom="page">
                  <wp:posOffset>914400</wp:posOffset>
                </wp:positionH>
                <wp:positionV relativeFrom="paragraph">
                  <wp:posOffset>171681</wp:posOffset>
                </wp:positionV>
                <wp:extent cx="5732145" cy="422973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4229735"/>
                          <a:chOff x="0" y="0"/>
                          <a:chExt cx="5732145" cy="4229735"/>
                        </a:xfrm>
                      </wpg:grpSpPr>
                      <pic:pic xmlns:pic="http://schemas.openxmlformats.org/drawingml/2006/picture">
                        <pic:nvPicPr>
                          <pic:cNvPr id="36" name="Image 36"/>
                          <pic:cNvPicPr/>
                        </pic:nvPicPr>
                        <pic:blipFill>
                          <a:blip r:embed="rId45" cstate="print"/>
                          <a:stretch>
                            <a:fillRect/>
                          </a:stretch>
                        </pic:blipFill>
                        <pic:spPr>
                          <a:xfrm>
                            <a:off x="2167254" y="717041"/>
                            <a:ext cx="1180465" cy="1460373"/>
                          </a:xfrm>
                          <a:prstGeom prst="rect">
                            <a:avLst/>
                          </a:prstGeom>
                        </pic:spPr>
                      </pic:pic>
                      <pic:pic xmlns:pic="http://schemas.openxmlformats.org/drawingml/2006/picture">
                        <pic:nvPicPr>
                          <pic:cNvPr id="37" name="Image 37"/>
                          <pic:cNvPicPr/>
                        </pic:nvPicPr>
                        <pic:blipFill>
                          <a:blip r:embed="rId46" cstate="print"/>
                          <a:stretch>
                            <a:fillRect/>
                          </a:stretch>
                        </pic:blipFill>
                        <pic:spPr>
                          <a:xfrm>
                            <a:off x="3347720" y="960818"/>
                            <a:ext cx="1228725" cy="1216469"/>
                          </a:xfrm>
                          <a:prstGeom prst="rect">
                            <a:avLst/>
                          </a:prstGeom>
                        </pic:spPr>
                      </pic:pic>
                      <pic:pic xmlns:pic="http://schemas.openxmlformats.org/drawingml/2006/picture">
                        <pic:nvPicPr>
                          <pic:cNvPr id="38" name="Image 38"/>
                          <pic:cNvPicPr/>
                        </pic:nvPicPr>
                        <pic:blipFill>
                          <a:blip r:embed="rId47" cstate="print"/>
                          <a:stretch>
                            <a:fillRect/>
                          </a:stretch>
                        </pic:blipFill>
                        <pic:spPr>
                          <a:xfrm>
                            <a:off x="4576445" y="0"/>
                            <a:ext cx="1155395" cy="2162669"/>
                          </a:xfrm>
                          <a:prstGeom prst="rect">
                            <a:avLst/>
                          </a:prstGeom>
                        </pic:spPr>
                      </pic:pic>
                      <pic:pic xmlns:pic="http://schemas.openxmlformats.org/drawingml/2006/picture">
                        <pic:nvPicPr>
                          <pic:cNvPr id="39" name="Image 39"/>
                          <pic:cNvPicPr/>
                        </pic:nvPicPr>
                        <pic:blipFill>
                          <a:blip r:embed="rId48" cstate="print"/>
                          <a:stretch>
                            <a:fillRect/>
                          </a:stretch>
                        </pic:blipFill>
                        <pic:spPr>
                          <a:xfrm>
                            <a:off x="0" y="2731135"/>
                            <a:ext cx="1355725" cy="1466088"/>
                          </a:xfrm>
                          <a:prstGeom prst="rect">
                            <a:avLst/>
                          </a:prstGeom>
                        </pic:spPr>
                      </pic:pic>
                      <pic:pic xmlns:pic="http://schemas.openxmlformats.org/drawingml/2006/picture">
                        <pic:nvPicPr>
                          <pic:cNvPr id="40" name="Image 40"/>
                          <pic:cNvPicPr/>
                        </pic:nvPicPr>
                        <pic:blipFill>
                          <a:blip r:embed="rId49" cstate="print"/>
                          <a:stretch>
                            <a:fillRect/>
                          </a:stretch>
                        </pic:blipFill>
                        <pic:spPr>
                          <a:xfrm>
                            <a:off x="1355725" y="3075939"/>
                            <a:ext cx="1506093" cy="1121409"/>
                          </a:xfrm>
                          <a:prstGeom prst="rect">
                            <a:avLst/>
                          </a:prstGeom>
                        </pic:spPr>
                      </pic:pic>
                      <pic:pic xmlns:pic="http://schemas.openxmlformats.org/drawingml/2006/picture">
                        <pic:nvPicPr>
                          <pic:cNvPr id="41" name="Image 41"/>
                          <pic:cNvPicPr/>
                        </pic:nvPicPr>
                        <pic:blipFill>
                          <a:blip r:embed="rId50" cstate="print"/>
                          <a:stretch>
                            <a:fillRect/>
                          </a:stretch>
                        </pic:blipFill>
                        <pic:spPr>
                          <a:xfrm>
                            <a:off x="2861945" y="2696210"/>
                            <a:ext cx="1207770" cy="1501140"/>
                          </a:xfrm>
                          <a:prstGeom prst="rect">
                            <a:avLst/>
                          </a:prstGeom>
                        </pic:spPr>
                      </pic:pic>
                      <pic:pic xmlns:pic="http://schemas.openxmlformats.org/drawingml/2006/picture">
                        <pic:nvPicPr>
                          <pic:cNvPr id="42" name="Image 42"/>
                          <pic:cNvPicPr/>
                        </pic:nvPicPr>
                        <pic:blipFill>
                          <a:blip r:embed="rId51" cstate="print"/>
                          <a:stretch>
                            <a:fillRect/>
                          </a:stretch>
                        </pic:blipFill>
                        <pic:spPr>
                          <a:xfrm>
                            <a:off x="4069715" y="2177542"/>
                            <a:ext cx="1435735" cy="2019173"/>
                          </a:xfrm>
                          <a:prstGeom prst="rect">
                            <a:avLst/>
                          </a:prstGeom>
                        </pic:spPr>
                      </pic:pic>
                      <wps:wsp>
                        <wps:cNvPr id="43" name="Textbox 43"/>
                        <wps:cNvSpPr txBox="1"/>
                        <wps:spPr>
                          <a:xfrm>
                            <a:off x="5504434" y="4072963"/>
                            <a:ext cx="52069" cy="156845"/>
                          </a:xfrm>
                          <a:prstGeom prst="rect">
                            <a:avLst/>
                          </a:prstGeom>
                        </wps:spPr>
                        <wps:txbx>
                          <w:txbxContent>
                            <w:p w14:paraId="508D3701" w14:textId="77777777" w:rsidR="00310096" w:rsidRDefault="00000000">
                              <w:pPr>
                                <w:spacing w:line="247" w:lineRule="exact"/>
                              </w:pPr>
                              <w:r>
                                <w:rPr>
                                  <w:spacing w:val="-10"/>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pt;margin-top:13.518262pt;width:451.35pt;height:333.05pt;mso-position-horizontal-relative:page;mso-position-vertical-relative:paragraph;z-index:-15723520;mso-wrap-distance-left:0;mso-wrap-distance-right:0" id="docshapegroup25" coordorigin="1440,270" coordsize="9027,6661">
                <v:shape style="position:absolute;left:4853;top:1399;width:1859;height:2300" type="#_x0000_t75" id="docshape26" stroked="false">
                  <v:imagedata r:id="rId52" o:title=""/>
                </v:shape>
                <v:shape style="position:absolute;left:6712;top:1783;width:1935;height:1916" type="#_x0000_t75" id="docshape27" stroked="false">
                  <v:imagedata r:id="rId53" o:title=""/>
                </v:shape>
                <v:shape style="position:absolute;left:8647;top:270;width:1820;height:3406" type="#_x0000_t75" id="docshape28" stroked="false">
                  <v:imagedata r:id="rId54" o:title=""/>
                </v:shape>
                <v:shape style="position:absolute;left:1440;top:4571;width:2135;height:2309" type="#_x0000_t75" id="docshape29" stroked="false">
                  <v:imagedata r:id="rId55" o:title=""/>
                </v:shape>
                <v:shape style="position:absolute;left:3575;top:5114;width:2372;height:1766" type="#_x0000_t75" id="docshape30" stroked="false">
                  <v:imagedata r:id="rId56" o:title=""/>
                </v:shape>
                <v:shape style="position:absolute;left:5947;top:4516;width:1902;height:2364" type="#_x0000_t75" id="docshape31" stroked="false">
                  <v:imagedata r:id="rId57" o:title=""/>
                </v:shape>
                <v:shape style="position:absolute;left:7849;top:3699;width:2261;height:3180" type="#_x0000_t75" id="docshape32" stroked="false">
                  <v:imagedata r:id="rId58" o:title=""/>
                </v:shape>
                <v:shape style="position:absolute;left:10108;top:6684;width:82;height:247" type="#_x0000_t202" id="docshape33" filled="false" stroked="false">
                  <v:textbox inset="0,0,0,0">
                    <w:txbxContent>
                      <w:p>
                        <w:pPr>
                          <w:spacing w:line="247" w:lineRule="exact" w:before="0"/>
                          <w:ind w:left="0" w:right="0" w:firstLine="0"/>
                          <w:jc w:val="left"/>
                          <w:rPr>
                            <w:sz w:val="22"/>
                          </w:rPr>
                        </w:pPr>
                        <w:r>
                          <w:rPr>
                            <w:spacing w:val="-10"/>
                            <w:sz w:val="22"/>
                          </w:rPr>
                          <w:t>.</w:t>
                        </w:r>
                      </w:p>
                    </w:txbxContent>
                  </v:textbox>
                  <w10:wrap type="none"/>
                </v:shape>
                <w10:wrap type="topAndBottom"/>
              </v:group>
            </w:pict>
          </mc:Fallback>
        </mc:AlternateContent>
      </w:r>
    </w:p>
    <w:p w14:paraId="5ED6EFAF" w14:textId="77777777" w:rsidR="00310096" w:rsidRDefault="00310096">
      <w:pPr>
        <w:pStyle w:val="Corpsdetexte"/>
        <w:spacing w:before="14"/>
      </w:pPr>
    </w:p>
    <w:p w14:paraId="76B5EB35" w14:textId="77777777" w:rsidR="00310096" w:rsidRDefault="00000000">
      <w:pPr>
        <w:pStyle w:val="Corpsdetexte"/>
        <w:ind w:left="165" w:right="158"/>
        <w:jc w:val="both"/>
      </w:pPr>
      <w:r>
        <w:rPr>
          <w:rFonts w:ascii="Arial" w:hAnsi="Arial"/>
          <w:b/>
        </w:rPr>
        <w:t xml:space="preserve">Annexe 9: </w:t>
      </w:r>
      <w:r>
        <w:t>captures d’écran du site internet officiel du groupe Kering Group (société commerciale publique à laquelle appartient l’opposante), datées de février 2023 et présentant</w:t>
      </w:r>
      <w:r>
        <w:rPr>
          <w:spacing w:val="40"/>
        </w:rPr>
        <w:t xml:space="preserve"> </w:t>
      </w:r>
      <w:r>
        <w:t>des</w:t>
      </w:r>
      <w:r>
        <w:rPr>
          <w:spacing w:val="40"/>
        </w:rPr>
        <w:t xml:space="preserve"> </w:t>
      </w:r>
      <w:r>
        <w:t>chiffres</w:t>
      </w:r>
      <w:r>
        <w:rPr>
          <w:spacing w:val="40"/>
        </w:rPr>
        <w:t xml:space="preserve"> </w:t>
      </w:r>
      <w:r>
        <w:t>financiers</w:t>
      </w:r>
      <w:r>
        <w:rPr>
          <w:spacing w:val="40"/>
        </w:rPr>
        <w:t xml:space="preserve"> </w:t>
      </w:r>
      <w:r>
        <w:t>clés</w:t>
      </w:r>
      <w:r>
        <w:rPr>
          <w:spacing w:val="40"/>
        </w:rPr>
        <w:t xml:space="preserve"> </w:t>
      </w:r>
      <w:r>
        <w:t>de</w:t>
      </w:r>
      <w:r>
        <w:rPr>
          <w:spacing w:val="40"/>
        </w:rPr>
        <w:t xml:space="preserve"> </w:t>
      </w:r>
      <w:r>
        <w:t>la</w:t>
      </w:r>
      <w:r>
        <w:rPr>
          <w:spacing w:val="40"/>
        </w:rPr>
        <w:t xml:space="preserve"> </w:t>
      </w:r>
      <w:r>
        <w:t>société</w:t>
      </w:r>
      <w:r>
        <w:rPr>
          <w:spacing w:val="40"/>
        </w:rPr>
        <w:t xml:space="preserve"> </w:t>
      </w:r>
      <w:r>
        <w:t>Gucci.</w:t>
      </w:r>
      <w:r>
        <w:rPr>
          <w:spacing w:val="40"/>
        </w:rPr>
        <w:t xml:space="preserve"> </w:t>
      </w:r>
      <w:r>
        <w:t>En</w:t>
      </w:r>
      <w:r>
        <w:rPr>
          <w:spacing w:val="40"/>
        </w:rPr>
        <w:t xml:space="preserve"> </w:t>
      </w:r>
      <w:r>
        <w:t>particulier,</w:t>
      </w:r>
      <w:r>
        <w:rPr>
          <w:spacing w:val="40"/>
        </w:rPr>
        <w:t xml:space="preserve"> </w:t>
      </w:r>
      <w:r>
        <w:t>il</w:t>
      </w:r>
      <w:r>
        <w:rPr>
          <w:spacing w:val="40"/>
        </w:rPr>
        <w:t xml:space="preserve"> </w:t>
      </w:r>
      <w:r>
        <w:t>mentionne 10</w:t>
      </w:r>
      <w:r>
        <w:rPr>
          <w:spacing w:val="-1"/>
        </w:rPr>
        <w:t xml:space="preserve"> </w:t>
      </w:r>
      <w:r>
        <w:t>487 millions d’EUR de recettes et 3 732 millions d’EUR de recettes d’exploitation récurrentes, dont 22</w:t>
      </w:r>
      <w:r>
        <w:rPr>
          <w:spacing w:val="-4"/>
        </w:rPr>
        <w:t xml:space="preserve"> </w:t>
      </w:r>
      <w:r>
        <w:t>% ont été générés uniquement dans les pays d’Europe de l’Ouest. Ces chiffres sont comparés aux années 2022 et 2021.</w:t>
      </w:r>
    </w:p>
    <w:p w14:paraId="3C0D39E7" w14:textId="77777777" w:rsidR="00310096" w:rsidRDefault="00000000">
      <w:pPr>
        <w:pStyle w:val="Corpsdetexte"/>
        <w:spacing w:before="227"/>
        <w:ind w:left="165" w:right="161"/>
        <w:jc w:val="both"/>
      </w:pPr>
      <w:r>
        <w:rPr>
          <w:rFonts w:ascii="Arial" w:hAnsi="Arial"/>
          <w:b/>
        </w:rPr>
        <w:t xml:space="preserve">Annexe 10: </w:t>
      </w:r>
      <w:r>
        <w:t>une liste des enregistrements de l’opposante dans différents pays pour le</w:t>
      </w:r>
      <w:r>
        <w:rPr>
          <w:spacing w:val="40"/>
        </w:rPr>
        <w:t xml:space="preserve"> </w:t>
      </w:r>
      <w:r>
        <w:t>même</w:t>
      </w:r>
      <w:r>
        <w:rPr>
          <w:spacing w:val="40"/>
        </w:rPr>
        <w:t xml:space="preserve"> </w:t>
      </w:r>
      <w:r>
        <w:t>«logo</w:t>
      </w:r>
      <w:r>
        <w:rPr>
          <w:spacing w:val="40"/>
        </w:rPr>
        <w:t xml:space="preserve"> </w:t>
      </w:r>
      <w:r>
        <w:t>GG»</w:t>
      </w:r>
      <w:r>
        <w:rPr>
          <w:spacing w:val="40"/>
        </w:rPr>
        <w:t xml:space="preserve"> </w:t>
      </w:r>
      <w:r>
        <w:t>que</w:t>
      </w:r>
      <w:r>
        <w:rPr>
          <w:spacing w:val="40"/>
        </w:rPr>
        <w:t xml:space="preserve"> </w:t>
      </w:r>
      <w:r>
        <w:t>celui</w:t>
      </w:r>
      <w:r>
        <w:rPr>
          <w:spacing w:val="40"/>
        </w:rPr>
        <w:t xml:space="preserve"> </w:t>
      </w:r>
      <w:r>
        <w:t>montré</w:t>
      </w:r>
      <w:r>
        <w:rPr>
          <w:spacing w:val="40"/>
        </w:rPr>
        <w:t xml:space="preserve"> </w:t>
      </w:r>
      <w:r>
        <w:t>ci-dessus,</w:t>
      </w:r>
      <w:r>
        <w:rPr>
          <w:spacing w:val="40"/>
        </w:rPr>
        <w:t xml:space="preserve"> </w:t>
      </w:r>
      <w:r>
        <w:t>le</w:t>
      </w:r>
      <w:r>
        <w:rPr>
          <w:spacing w:val="40"/>
        </w:rPr>
        <w:t xml:space="preserve"> </w:t>
      </w:r>
      <w:r>
        <w:t>plus</w:t>
      </w:r>
      <w:r>
        <w:rPr>
          <w:spacing w:val="40"/>
        </w:rPr>
        <w:t xml:space="preserve"> </w:t>
      </w:r>
      <w:r>
        <w:t>ancien</w:t>
      </w:r>
      <w:r>
        <w:rPr>
          <w:spacing w:val="40"/>
        </w:rPr>
        <w:t xml:space="preserve"> </w:t>
      </w:r>
      <w:r>
        <w:t>enregistrement</w:t>
      </w:r>
      <w:r>
        <w:rPr>
          <w:spacing w:val="40"/>
        </w:rPr>
        <w:t xml:space="preserve"> </w:t>
      </w:r>
      <w:r>
        <w:t>au</w:t>
      </w:r>
      <w:r>
        <w:rPr>
          <w:spacing w:val="40"/>
        </w:rPr>
        <w:t xml:space="preserve"> </w:t>
      </w:r>
      <w:r>
        <w:t>monde</w:t>
      </w:r>
    </w:p>
    <w:p w14:paraId="62733140" w14:textId="77777777" w:rsidR="00310096" w:rsidRDefault="00310096">
      <w:pPr>
        <w:pStyle w:val="Corpsdetexte"/>
        <w:jc w:val="both"/>
        <w:sectPr w:rsidR="00310096">
          <w:pgSz w:w="11910" w:h="16840"/>
          <w:pgMar w:top="1000" w:right="1275" w:bottom="280" w:left="1275" w:header="727" w:footer="0" w:gutter="0"/>
          <w:cols w:space="720"/>
        </w:sectPr>
      </w:pPr>
    </w:p>
    <w:p w14:paraId="78355863" w14:textId="77777777" w:rsidR="00310096" w:rsidRDefault="00000000">
      <w:pPr>
        <w:pStyle w:val="Corpsdetexte"/>
        <w:spacing w:before="181"/>
      </w:pPr>
      <w:r>
        <w:rPr>
          <w:noProof/>
        </w:rPr>
        <w:lastRenderedPageBreak/>
        <mc:AlternateContent>
          <mc:Choice Requires="wps">
            <w:drawing>
              <wp:anchor distT="0" distB="0" distL="0" distR="0" simplePos="0" relativeHeight="15736832" behindDoc="0" locked="0" layoutInCell="1" allowOverlap="1" wp14:anchorId="424B58DE" wp14:editId="5F9D1FA1">
                <wp:simplePos x="0" y="0"/>
                <wp:positionH relativeFrom="page">
                  <wp:posOffset>270575</wp:posOffset>
                </wp:positionH>
                <wp:positionV relativeFrom="page">
                  <wp:posOffset>1114363</wp:posOffset>
                </wp:positionV>
                <wp:extent cx="146050" cy="92100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672341BB"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36832" type="#_x0000_t202" id="docshape34"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318CBCA3" w14:textId="77777777" w:rsidR="00310096" w:rsidRDefault="00000000">
      <w:pPr>
        <w:pStyle w:val="Corpsdetexte"/>
        <w:ind w:left="165" w:right="165"/>
        <w:jc w:val="both"/>
      </w:pPr>
      <w:r>
        <w:t>datant de 1977 en Italie, suivi d’une marque et d’un dessin ou modèle internationaux. Les documents de certification y sont également inclus.</w:t>
      </w:r>
    </w:p>
    <w:p w14:paraId="7F2D77A0" w14:textId="77777777" w:rsidR="00310096" w:rsidRDefault="00310096">
      <w:pPr>
        <w:pStyle w:val="Corpsdetexte"/>
        <w:spacing w:before="17"/>
      </w:pPr>
    </w:p>
    <w:p w14:paraId="0E534118" w14:textId="77777777" w:rsidR="00310096" w:rsidRDefault="00000000">
      <w:pPr>
        <w:pStyle w:val="Corpsdetexte"/>
        <w:ind w:left="165" w:right="161"/>
        <w:jc w:val="both"/>
      </w:pPr>
      <w:r>
        <w:rPr>
          <w:rFonts w:ascii="Arial" w:hAnsi="Arial"/>
          <w:b/>
        </w:rPr>
        <w:t xml:space="preserve">Annexe 12: </w:t>
      </w:r>
      <w:r>
        <w:t>Décisions reconnaissant la renommée, entre autres, de la marque antérieure examinée, rendues par les offices nationaux espagnols, portugais et français, ainsi que par l’EUIPO, en ce qui concerne d’autres signes en conflit, datées de 2014 à 2023.</w:t>
      </w:r>
    </w:p>
    <w:p w14:paraId="2AF4F4E3" w14:textId="77777777" w:rsidR="00310096" w:rsidRDefault="00310096">
      <w:pPr>
        <w:pStyle w:val="Corpsdetexte"/>
        <w:spacing w:before="15"/>
      </w:pPr>
    </w:p>
    <w:p w14:paraId="126360AA" w14:textId="77777777" w:rsidR="00310096" w:rsidRDefault="00000000">
      <w:pPr>
        <w:pStyle w:val="Corpsdetexte"/>
        <w:ind w:left="165" w:right="162"/>
        <w:jc w:val="both"/>
      </w:pPr>
      <w:r>
        <w:t>À la même date, à savoir le 01/12/2023, en même temps que ses observations antérieures concernant exclusivement sa revendication de renommée, l’opposante complète ses observations et éléments de preuve relatifs à l’appréciation de l’usage sérieux, en faisant référence, entre autres, aux documents suivants (contenus dans les annexes 1 et 2):</w:t>
      </w:r>
    </w:p>
    <w:p w14:paraId="09801614" w14:textId="77777777" w:rsidR="00310096" w:rsidRDefault="00310096">
      <w:pPr>
        <w:pStyle w:val="Corpsdetexte"/>
        <w:spacing w:before="17"/>
      </w:pPr>
    </w:p>
    <w:p w14:paraId="11DBB936" w14:textId="77777777" w:rsidR="00310096" w:rsidRDefault="00000000">
      <w:pPr>
        <w:pStyle w:val="Paragraphedeliste"/>
        <w:numPr>
          <w:ilvl w:val="0"/>
          <w:numId w:val="1"/>
        </w:numPr>
        <w:tabs>
          <w:tab w:val="left" w:pos="885"/>
        </w:tabs>
        <w:ind w:right="155"/>
      </w:pPr>
      <w:r>
        <w:t>un certain nombre de publications dans des médias couvrant les territoires de la France, de l’Allemagne, de l’Espagne et de l’Italie (par exemple, Elle, Grazia, Instyle, Harpers Bazaar, Vogue), datées de 2017-2022, sur lesquelles sont représentés divers produits portant la marque, en particulier différents types de sacs — sacs à main — fourre-tout, sacs à provisions, sacs banane, sacs à main, tels que:</w:t>
      </w:r>
    </w:p>
    <w:p w14:paraId="355D0C15" w14:textId="77777777" w:rsidR="00310096" w:rsidRDefault="00000000">
      <w:pPr>
        <w:pStyle w:val="Corpsdetexte"/>
        <w:spacing w:before="14"/>
        <w:rPr>
          <w:sz w:val="20"/>
        </w:rPr>
      </w:pPr>
      <w:r>
        <w:rPr>
          <w:noProof/>
          <w:sz w:val="20"/>
        </w:rPr>
        <mc:AlternateContent>
          <mc:Choice Requires="wps">
            <w:drawing>
              <wp:anchor distT="0" distB="0" distL="0" distR="0" simplePos="0" relativeHeight="487594496" behindDoc="1" locked="0" layoutInCell="1" allowOverlap="1" wp14:anchorId="29D33B4E" wp14:editId="2796F4AE">
                <wp:simplePos x="0" y="0"/>
                <wp:positionH relativeFrom="page">
                  <wp:posOffset>1502917</wp:posOffset>
                </wp:positionH>
                <wp:positionV relativeFrom="paragraph">
                  <wp:posOffset>170425</wp:posOffset>
                </wp:positionV>
                <wp:extent cx="4555490" cy="1774189"/>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5490" cy="1774189"/>
                          <a:chOff x="0" y="0"/>
                          <a:chExt cx="4555490" cy="1774189"/>
                        </a:xfrm>
                      </wpg:grpSpPr>
                      <pic:pic xmlns:pic="http://schemas.openxmlformats.org/drawingml/2006/picture">
                        <pic:nvPicPr>
                          <pic:cNvPr id="46" name="Image 46"/>
                          <pic:cNvPicPr/>
                        </pic:nvPicPr>
                        <pic:blipFill>
                          <a:blip r:embed="rId59" cstate="print"/>
                          <a:stretch>
                            <a:fillRect/>
                          </a:stretch>
                        </pic:blipFill>
                        <pic:spPr>
                          <a:xfrm>
                            <a:off x="0" y="0"/>
                            <a:ext cx="1159509" cy="1773554"/>
                          </a:xfrm>
                          <a:prstGeom prst="rect">
                            <a:avLst/>
                          </a:prstGeom>
                        </pic:spPr>
                      </pic:pic>
                      <pic:pic xmlns:pic="http://schemas.openxmlformats.org/drawingml/2006/picture">
                        <pic:nvPicPr>
                          <pic:cNvPr id="47" name="Image 47"/>
                          <pic:cNvPicPr/>
                        </pic:nvPicPr>
                        <pic:blipFill>
                          <a:blip r:embed="rId60" cstate="print"/>
                          <a:stretch>
                            <a:fillRect/>
                          </a:stretch>
                        </pic:blipFill>
                        <pic:spPr>
                          <a:xfrm>
                            <a:off x="1198372" y="174625"/>
                            <a:ext cx="1364614" cy="1599437"/>
                          </a:xfrm>
                          <a:prstGeom prst="rect">
                            <a:avLst/>
                          </a:prstGeom>
                        </pic:spPr>
                      </pic:pic>
                      <pic:pic xmlns:pic="http://schemas.openxmlformats.org/drawingml/2006/picture">
                        <pic:nvPicPr>
                          <pic:cNvPr id="48" name="Image 48"/>
                          <pic:cNvPicPr/>
                        </pic:nvPicPr>
                        <pic:blipFill>
                          <a:blip r:embed="rId61" cstate="print"/>
                          <a:stretch>
                            <a:fillRect/>
                          </a:stretch>
                        </pic:blipFill>
                        <pic:spPr>
                          <a:xfrm>
                            <a:off x="2601848" y="176656"/>
                            <a:ext cx="1953260" cy="159715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8.339996pt;margin-top:13.419336pt;width:358.7pt;height:139.7pt;mso-position-horizontal-relative:page;mso-position-vertical-relative:paragraph;z-index:-15721984;mso-wrap-distance-left:0;mso-wrap-distance-right:0" id="docshapegroup35" coordorigin="2367,268" coordsize="7174,2794">
                <v:shape style="position:absolute;left:2366;top:268;width:1826;height:2793" type="#_x0000_t75" id="docshape36" stroked="false">
                  <v:imagedata r:id="rId62" o:title=""/>
                </v:shape>
                <v:shape style="position:absolute;left:4254;top:543;width:2149;height:2519" type="#_x0000_t75" id="docshape37" stroked="false">
                  <v:imagedata r:id="rId63" o:title=""/>
                </v:shape>
                <v:shape style="position:absolute;left:6464;top:546;width:3076;height:2516" type="#_x0000_t75" id="docshape38" stroked="false">
                  <v:imagedata r:id="rId64" o:title=""/>
                </v:shape>
                <w10:wrap type="topAndBottom"/>
              </v:group>
            </w:pict>
          </mc:Fallback>
        </mc:AlternateContent>
      </w:r>
      <w:r>
        <w:rPr>
          <w:noProof/>
          <w:sz w:val="20"/>
        </w:rPr>
        <w:drawing>
          <wp:anchor distT="0" distB="0" distL="0" distR="0" simplePos="0" relativeHeight="487595008" behindDoc="1" locked="0" layoutInCell="1" allowOverlap="1" wp14:anchorId="65358CC7" wp14:editId="526698C4">
            <wp:simplePos x="0" y="0"/>
            <wp:positionH relativeFrom="page">
              <wp:posOffset>917892</wp:posOffset>
            </wp:positionH>
            <wp:positionV relativeFrom="paragraph">
              <wp:posOffset>2333972</wp:posOffset>
            </wp:positionV>
            <wp:extent cx="985188" cy="120700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5" cstate="print"/>
                    <a:stretch>
                      <a:fillRect/>
                    </a:stretch>
                  </pic:blipFill>
                  <pic:spPr>
                    <a:xfrm>
                      <a:off x="0" y="0"/>
                      <a:ext cx="985188" cy="1207008"/>
                    </a:xfrm>
                    <a:prstGeom prst="rect">
                      <a:avLst/>
                    </a:prstGeom>
                  </pic:spPr>
                </pic:pic>
              </a:graphicData>
            </a:graphic>
          </wp:anchor>
        </w:drawing>
      </w:r>
      <w:r>
        <w:rPr>
          <w:noProof/>
          <w:sz w:val="20"/>
        </w:rPr>
        <mc:AlternateContent>
          <mc:Choice Requires="wps">
            <w:drawing>
              <wp:anchor distT="0" distB="0" distL="0" distR="0" simplePos="0" relativeHeight="487595520" behindDoc="1" locked="0" layoutInCell="1" allowOverlap="1" wp14:anchorId="44FF7550" wp14:editId="17445D4D">
                <wp:simplePos x="0" y="0"/>
                <wp:positionH relativeFrom="page">
                  <wp:posOffset>2003805</wp:posOffset>
                </wp:positionH>
                <wp:positionV relativeFrom="paragraph">
                  <wp:posOffset>2115430</wp:posOffset>
                </wp:positionV>
                <wp:extent cx="4639310" cy="319786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9310" cy="3197860"/>
                          <a:chOff x="0" y="0"/>
                          <a:chExt cx="4639310" cy="3197860"/>
                        </a:xfrm>
                      </wpg:grpSpPr>
                      <pic:pic xmlns:pic="http://schemas.openxmlformats.org/drawingml/2006/picture">
                        <pic:nvPicPr>
                          <pic:cNvPr id="51" name="Image 51"/>
                          <pic:cNvPicPr/>
                        </pic:nvPicPr>
                        <pic:blipFill>
                          <a:blip r:embed="rId66" cstate="print"/>
                          <a:stretch>
                            <a:fillRect/>
                          </a:stretch>
                        </pic:blipFill>
                        <pic:spPr>
                          <a:xfrm>
                            <a:off x="99060" y="140970"/>
                            <a:ext cx="914984" cy="1313814"/>
                          </a:xfrm>
                          <a:prstGeom prst="rect">
                            <a:avLst/>
                          </a:prstGeom>
                        </pic:spPr>
                      </pic:pic>
                      <pic:pic xmlns:pic="http://schemas.openxmlformats.org/drawingml/2006/picture">
                        <pic:nvPicPr>
                          <pic:cNvPr id="52" name="Image 52"/>
                          <pic:cNvPicPr/>
                        </pic:nvPicPr>
                        <pic:blipFill>
                          <a:blip r:embed="rId67" cstate="print"/>
                          <a:stretch>
                            <a:fillRect/>
                          </a:stretch>
                        </pic:blipFill>
                        <pic:spPr>
                          <a:xfrm>
                            <a:off x="1213358" y="0"/>
                            <a:ext cx="1253680" cy="1426210"/>
                          </a:xfrm>
                          <a:prstGeom prst="rect">
                            <a:avLst/>
                          </a:prstGeom>
                        </pic:spPr>
                      </pic:pic>
                      <pic:pic xmlns:pic="http://schemas.openxmlformats.org/drawingml/2006/picture">
                        <pic:nvPicPr>
                          <pic:cNvPr id="53" name="Image 53"/>
                          <pic:cNvPicPr/>
                        </pic:nvPicPr>
                        <pic:blipFill>
                          <a:blip r:embed="rId68" cstate="print"/>
                          <a:stretch>
                            <a:fillRect/>
                          </a:stretch>
                        </pic:blipFill>
                        <pic:spPr>
                          <a:xfrm>
                            <a:off x="2467482" y="226059"/>
                            <a:ext cx="2171699" cy="1200150"/>
                          </a:xfrm>
                          <a:prstGeom prst="rect">
                            <a:avLst/>
                          </a:prstGeom>
                        </pic:spPr>
                      </pic:pic>
                      <pic:pic xmlns:pic="http://schemas.openxmlformats.org/drawingml/2006/picture">
                        <pic:nvPicPr>
                          <pic:cNvPr id="54" name="Image 54"/>
                          <pic:cNvPicPr/>
                        </pic:nvPicPr>
                        <pic:blipFill>
                          <a:blip r:embed="rId69" cstate="print"/>
                          <a:stretch>
                            <a:fillRect/>
                          </a:stretch>
                        </pic:blipFill>
                        <pic:spPr>
                          <a:xfrm>
                            <a:off x="0" y="1426210"/>
                            <a:ext cx="1904999" cy="1771650"/>
                          </a:xfrm>
                          <a:prstGeom prst="rect">
                            <a:avLst/>
                          </a:prstGeom>
                        </pic:spPr>
                      </pic:pic>
                      <pic:pic xmlns:pic="http://schemas.openxmlformats.org/drawingml/2006/picture">
                        <pic:nvPicPr>
                          <pic:cNvPr id="55" name="Image 55"/>
                          <pic:cNvPicPr/>
                        </pic:nvPicPr>
                        <pic:blipFill>
                          <a:blip r:embed="rId70" cstate="print"/>
                          <a:stretch>
                            <a:fillRect/>
                          </a:stretch>
                        </pic:blipFill>
                        <pic:spPr>
                          <a:xfrm>
                            <a:off x="1978259" y="1464944"/>
                            <a:ext cx="1575073" cy="171919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7.779999pt;margin-top:166.569336pt;width:365.3pt;height:251.8pt;mso-position-horizontal-relative:page;mso-position-vertical-relative:paragraph;z-index:-15720960;mso-wrap-distance-left:0;mso-wrap-distance-right:0" id="docshapegroup39" coordorigin="3156,3331" coordsize="7306,5036">
                <v:shape style="position:absolute;left:3311;top:3553;width:1441;height:2069" type="#_x0000_t75" id="docshape40" stroked="false">
                  <v:imagedata r:id="rId71" o:title=""/>
                </v:shape>
                <v:shape style="position:absolute;left:5066;top:3331;width:1975;height:2246" type="#_x0000_t75" id="docshape41" stroked="false">
                  <v:imagedata r:id="rId72" o:title=""/>
                </v:shape>
                <v:shape style="position:absolute;left:7041;top:3687;width:3420;height:1890" type="#_x0000_t75" id="docshape42" stroked="false">
                  <v:imagedata r:id="rId73" o:title=""/>
                </v:shape>
                <v:shape style="position:absolute;left:3155;top:5577;width:3000;height:2790" type="#_x0000_t75" id="docshape43" stroked="false">
                  <v:imagedata r:id="rId74" o:title=""/>
                </v:shape>
                <v:shape style="position:absolute;left:6270;top:5638;width:2481;height:2708" type="#_x0000_t75" id="docshape44" stroked="false">
                  <v:imagedata r:id="rId75" o:title=""/>
                </v:shape>
                <w10:wrap type="topAndBottom"/>
              </v:group>
            </w:pict>
          </mc:Fallback>
        </mc:AlternateContent>
      </w:r>
    </w:p>
    <w:p w14:paraId="4DA555B3" w14:textId="77777777" w:rsidR="00310096" w:rsidRDefault="00310096">
      <w:pPr>
        <w:pStyle w:val="Corpsdetexte"/>
        <w:spacing w:before="15"/>
        <w:rPr>
          <w:sz w:val="20"/>
        </w:rPr>
      </w:pPr>
    </w:p>
    <w:p w14:paraId="5AD58639" w14:textId="77777777" w:rsidR="00310096" w:rsidRDefault="00310096">
      <w:pPr>
        <w:pStyle w:val="Corpsdetexte"/>
        <w:spacing w:before="18"/>
      </w:pPr>
    </w:p>
    <w:p w14:paraId="4C8B1C83" w14:textId="77777777" w:rsidR="00310096" w:rsidRDefault="00000000">
      <w:pPr>
        <w:pStyle w:val="Paragraphedeliste"/>
        <w:numPr>
          <w:ilvl w:val="0"/>
          <w:numId w:val="1"/>
        </w:numPr>
        <w:tabs>
          <w:tab w:val="left" w:pos="885"/>
        </w:tabs>
        <w:spacing w:before="1"/>
        <w:ind w:right="160"/>
      </w:pPr>
      <w:r>
        <w:t>captures d’écran obtenues par l’intermédiaire de la WayBackMachine, illustrant les produits de l’opposante présentés sur son site web, disponibles sur des sites web de tiers,</w:t>
      </w:r>
      <w:r>
        <w:rPr>
          <w:spacing w:val="23"/>
        </w:rPr>
        <w:t xml:space="preserve"> </w:t>
      </w:r>
      <w:r>
        <w:t>ainsi</w:t>
      </w:r>
      <w:r>
        <w:rPr>
          <w:spacing w:val="17"/>
        </w:rPr>
        <w:t xml:space="preserve"> </w:t>
      </w:r>
      <w:r>
        <w:t>que</w:t>
      </w:r>
      <w:r>
        <w:rPr>
          <w:spacing w:val="20"/>
        </w:rPr>
        <w:t xml:space="preserve"> </w:t>
      </w:r>
      <w:r>
        <w:t>des</w:t>
      </w:r>
      <w:r>
        <w:rPr>
          <w:spacing w:val="21"/>
        </w:rPr>
        <w:t xml:space="preserve"> </w:t>
      </w:r>
      <w:r>
        <w:t>références</w:t>
      </w:r>
      <w:r>
        <w:rPr>
          <w:spacing w:val="23"/>
        </w:rPr>
        <w:t xml:space="preserve"> </w:t>
      </w:r>
      <w:r>
        <w:t>de</w:t>
      </w:r>
      <w:r>
        <w:rPr>
          <w:spacing w:val="20"/>
        </w:rPr>
        <w:t xml:space="preserve"> </w:t>
      </w:r>
      <w:r>
        <w:t>prix</w:t>
      </w:r>
      <w:r>
        <w:rPr>
          <w:spacing w:val="21"/>
        </w:rPr>
        <w:t xml:space="preserve"> </w:t>
      </w:r>
      <w:r>
        <w:t>dans</w:t>
      </w:r>
      <w:r>
        <w:rPr>
          <w:spacing w:val="21"/>
        </w:rPr>
        <w:t xml:space="preserve"> </w:t>
      </w:r>
      <w:r>
        <w:t>de</w:t>
      </w:r>
      <w:r>
        <w:rPr>
          <w:spacing w:val="23"/>
        </w:rPr>
        <w:t xml:space="preserve"> </w:t>
      </w:r>
      <w:r>
        <w:t>nombreux</w:t>
      </w:r>
      <w:r>
        <w:rPr>
          <w:spacing w:val="21"/>
        </w:rPr>
        <w:t xml:space="preserve"> </w:t>
      </w:r>
      <w:r>
        <w:t>cas,</w:t>
      </w:r>
      <w:r>
        <w:rPr>
          <w:spacing w:val="22"/>
        </w:rPr>
        <w:t xml:space="preserve"> </w:t>
      </w:r>
      <w:r>
        <w:t>y</w:t>
      </w:r>
      <w:r>
        <w:rPr>
          <w:spacing w:val="21"/>
        </w:rPr>
        <w:t xml:space="preserve"> </w:t>
      </w:r>
      <w:r>
        <w:t>compris</w:t>
      </w:r>
      <w:r>
        <w:rPr>
          <w:spacing w:val="21"/>
        </w:rPr>
        <w:t xml:space="preserve"> </w:t>
      </w:r>
      <w:r>
        <w:t>en</w:t>
      </w:r>
      <w:r>
        <w:rPr>
          <w:spacing w:val="20"/>
        </w:rPr>
        <w:t xml:space="preserve"> </w:t>
      </w:r>
      <w:r>
        <w:t>ce</w:t>
      </w:r>
      <w:r>
        <w:rPr>
          <w:spacing w:val="18"/>
        </w:rPr>
        <w:t xml:space="preserve"> </w:t>
      </w:r>
      <w:r>
        <w:t>qui</w:t>
      </w:r>
    </w:p>
    <w:p w14:paraId="0FD1A556" w14:textId="77777777" w:rsidR="00310096" w:rsidRDefault="00310096">
      <w:pPr>
        <w:pStyle w:val="Paragraphedeliste"/>
        <w:sectPr w:rsidR="00310096">
          <w:pgSz w:w="11910" w:h="16840"/>
          <w:pgMar w:top="1000" w:right="1275" w:bottom="280" w:left="1275" w:header="727" w:footer="0" w:gutter="0"/>
          <w:cols w:space="720"/>
        </w:sectPr>
      </w:pPr>
    </w:p>
    <w:p w14:paraId="78C07C40" w14:textId="77777777" w:rsidR="00310096" w:rsidRDefault="00000000">
      <w:pPr>
        <w:pStyle w:val="Corpsdetexte"/>
        <w:spacing w:before="181"/>
      </w:pPr>
      <w:r>
        <w:rPr>
          <w:noProof/>
        </w:rPr>
        <w:lastRenderedPageBreak/>
        <mc:AlternateContent>
          <mc:Choice Requires="wps">
            <w:drawing>
              <wp:anchor distT="0" distB="0" distL="0" distR="0" simplePos="0" relativeHeight="15739392" behindDoc="0" locked="0" layoutInCell="1" allowOverlap="1" wp14:anchorId="34BC0148" wp14:editId="2B89E460">
                <wp:simplePos x="0" y="0"/>
                <wp:positionH relativeFrom="page">
                  <wp:posOffset>270575</wp:posOffset>
                </wp:positionH>
                <wp:positionV relativeFrom="page">
                  <wp:posOffset>1114363</wp:posOffset>
                </wp:positionV>
                <wp:extent cx="146050" cy="92100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0F859307"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39392" type="#_x0000_t202" id="docshape45"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0B6BA34E" w14:textId="77777777" w:rsidR="00310096" w:rsidRDefault="00000000">
      <w:pPr>
        <w:pStyle w:val="Corpsdetexte"/>
        <w:ind w:left="885" w:right="162"/>
        <w:jc w:val="both"/>
      </w:pPr>
      <w:r>
        <w:t>concerne</w:t>
      </w:r>
      <w:r>
        <w:rPr>
          <w:spacing w:val="-3"/>
        </w:rPr>
        <w:t xml:space="preserve"> </w:t>
      </w:r>
      <w:r>
        <w:t>les</w:t>
      </w:r>
      <w:r>
        <w:rPr>
          <w:spacing w:val="-5"/>
        </w:rPr>
        <w:t xml:space="preserve"> </w:t>
      </w:r>
      <w:r>
        <w:t>collaborations</w:t>
      </w:r>
      <w:r>
        <w:rPr>
          <w:spacing w:val="-3"/>
        </w:rPr>
        <w:t xml:space="preserve"> </w:t>
      </w:r>
      <w:r>
        <w:t>avec</w:t>
      </w:r>
      <w:r>
        <w:rPr>
          <w:spacing w:val="-3"/>
        </w:rPr>
        <w:t xml:space="preserve"> </w:t>
      </w:r>
      <w:r>
        <w:t>des</w:t>
      </w:r>
      <w:r>
        <w:rPr>
          <w:spacing w:val="-3"/>
        </w:rPr>
        <w:t xml:space="preserve"> </w:t>
      </w:r>
      <w:r>
        <w:t>tiers</w:t>
      </w:r>
      <w:r>
        <w:rPr>
          <w:spacing w:val="-5"/>
        </w:rPr>
        <w:t xml:space="preserve"> </w:t>
      </w:r>
      <w:r>
        <w:t>(pour</w:t>
      </w:r>
      <w:r>
        <w:rPr>
          <w:spacing w:val="-2"/>
        </w:rPr>
        <w:t xml:space="preserve"> </w:t>
      </w:r>
      <w:r>
        <w:t>plusieurs</w:t>
      </w:r>
      <w:r>
        <w:rPr>
          <w:spacing w:val="-2"/>
        </w:rPr>
        <w:t xml:space="preserve"> </w:t>
      </w:r>
      <w:r>
        <w:t>États</w:t>
      </w:r>
      <w:r>
        <w:rPr>
          <w:spacing w:val="-5"/>
        </w:rPr>
        <w:t xml:space="preserve"> </w:t>
      </w:r>
      <w:r>
        <w:t>membres),</w:t>
      </w:r>
      <w:r>
        <w:rPr>
          <w:spacing w:val="-4"/>
        </w:rPr>
        <w:t xml:space="preserve"> </w:t>
      </w:r>
      <w:r>
        <w:t>datées</w:t>
      </w:r>
      <w:r>
        <w:rPr>
          <w:spacing w:val="-5"/>
        </w:rPr>
        <w:t xml:space="preserve"> </w:t>
      </w:r>
      <w:r>
        <w:t>de 2017 à 2022. Les produits sont divers sacs à dos, malles, valises, sacs de voyage, à titre d’exemple:</w:t>
      </w:r>
    </w:p>
    <w:p w14:paraId="3B64AB26" w14:textId="77777777" w:rsidR="00310096" w:rsidRDefault="00000000">
      <w:pPr>
        <w:pStyle w:val="Corpsdetexte"/>
        <w:spacing w:before="15"/>
        <w:rPr>
          <w:sz w:val="20"/>
        </w:rPr>
      </w:pPr>
      <w:r>
        <w:rPr>
          <w:noProof/>
          <w:sz w:val="20"/>
        </w:rPr>
        <w:drawing>
          <wp:anchor distT="0" distB="0" distL="0" distR="0" simplePos="0" relativeHeight="487596544" behindDoc="1" locked="0" layoutInCell="1" allowOverlap="1" wp14:anchorId="640AF9B6" wp14:editId="141A95DC">
            <wp:simplePos x="0" y="0"/>
            <wp:positionH relativeFrom="page">
              <wp:posOffset>949975</wp:posOffset>
            </wp:positionH>
            <wp:positionV relativeFrom="paragraph">
              <wp:posOffset>171123</wp:posOffset>
            </wp:positionV>
            <wp:extent cx="5734290" cy="247116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6" cstate="print"/>
                    <a:stretch>
                      <a:fillRect/>
                    </a:stretch>
                  </pic:blipFill>
                  <pic:spPr>
                    <a:xfrm>
                      <a:off x="0" y="0"/>
                      <a:ext cx="5734290" cy="2471166"/>
                    </a:xfrm>
                    <a:prstGeom prst="rect">
                      <a:avLst/>
                    </a:prstGeom>
                  </pic:spPr>
                </pic:pic>
              </a:graphicData>
            </a:graphic>
          </wp:anchor>
        </w:drawing>
      </w:r>
      <w:r>
        <w:rPr>
          <w:noProof/>
          <w:sz w:val="20"/>
        </w:rPr>
        <w:drawing>
          <wp:anchor distT="0" distB="0" distL="0" distR="0" simplePos="0" relativeHeight="487597056" behindDoc="1" locked="0" layoutInCell="1" allowOverlap="1" wp14:anchorId="5AF3CB1F" wp14:editId="55C458ED">
            <wp:simplePos x="0" y="0"/>
            <wp:positionH relativeFrom="page">
              <wp:posOffset>2185542</wp:posOffset>
            </wp:positionH>
            <wp:positionV relativeFrom="paragraph">
              <wp:posOffset>2796848</wp:posOffset>
            </wp:positionV>
            <wp:extent cx="1025564" cy="1727739"/>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7" cstate="print"/>
                    <a:stretch>
                      <a:fillRect/>
                    </a:stretch>
                  </pic:blipFill>
                  <pic:spPr>
                    <a:xfrm>
                      <a:off x="0" y="0"/>
                      <a:ext cx="1025564" cy="1727739"/>
                    </a:xfrm>
                    <a:prstGeom prst="rect">
                      <a:avLst/>
                    </a:prstGeom>
                  </pic:spPr>
                </pic:pic>
              </a:graphicData>
            </a:graphic>
          </wp:anchor>
        </w:drawing>
      </w:r>
      <w:r>
        <w:rPr>
          <w:noProof/>
          <w:sz w:val="20"/>
        </w:rPr>
        <w:drawing>
          <wp:anchor distT="0" distB="0" distL="0" distR="0" simplePos="0" relativeHeight="487597568" behindDoc="1" locked="0" layoutInCell="1" allowOverlap="1" wp14:anchorId="68944ED1" wp14:editId="1CA09626">
            <wp:simplePos x="0" y="0"/>
            <wp:positionH relativeFrom="page">
              <wp:posOffset>3290696</wp:posOffset>
            </wp:positionH>
            <wp:positionV relativeFrom="paragraph">
              <wp:posOffset>2888923</wp:posOffset>
            </wp:positionV>
            <wp:extent cx="2081831" cy="1636776"/>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8" cstate="print"/>
                    <a:stretch>
                      <a:fillRect/>
                    </a:stretch>
                  </pic:blipFill>
                  <pic:spPr>
                    <a:xfrm>
                      <a:off x="0" y="0"/>
                      <a:ext cx="2081831" cy="1636776"/>
                    </a:xfrm>
                    <a:prstGeom prst="rect">
                      <a:avLst/>
                    </a:prstGeom>
                  </pic:spPr>
                </pic:pic>
              </a:graphicData>
            </a:graphic>
          </wp:anchor>
        </w:drawing>
      </w:r>
      <w:r>
        <w:rPr>
          <w:noProof/>
          <w:sz w:val="20"/>
        </w:rPr>
        <mc:AlternateContent>
          <mc:Choice Requires="wps">
            <w:drawing>
              <wp:anchor distT="0" distB="0" distL="0" distR="0" simplePos="0" relativeHeight="487598080" behindDoc="1" locked="0" layoutInCell="1" allowOverlap="1" wp14:anchorId="57ACEAB2" wp14:editId="1FB4A607">
                <wp:simplePos x="0" y="0"/>
                <wp:positionH relativeFrom="page">
                  <wp:posOffset>1816480</wp:posOffset>
                </wp:positionH>
                <wp:positionV relativeFrom="paragraph">
                  <wp:posOffset>4698673</wp:posOffset>
                </wp:positionV>
                <wp:extent cx="3950335" cy="147510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0335" cy="1475105"/>
                          <a:chOff x="0" y="0"/>
                          <a:chExt cx="3950335" cy="1475105"/>
                        </a:xfrm>
                      </wpg:grpSpPr>
                      <pic:pic xmlns:pic="http://schemas.openxmlformats.org/drawingml/2006/picture">
                        <pic:nvPicPr>
                          <pic:cNvPr id="61" name="Image 61"/>
                          <pic:cNvPicPr/>
                        </pic:nvPicPr>
                        <pic:blipFill>
                          <a:blip r:embed="rId79" cstate="print"/>
                          <a:stretch>
                            <a:fillRect/>
                          </a:stretch>
                        </pic:blipFill>
                        <pic:spPr>
                          <a:xfrm>
                            <a:off x="0" y="0"/>
                            <a:ext cx="1940560" cy="1475104"/>
                          </a:xfrm>
                          <a:prstGeom prst="rect">
                            <a:avLst/>
                          </a:prstGeom>
                        </pic:spPr>
                      </pic:pic>
                      <pic:pic xmlns:pic="http://schemas.openxmlformats.org/drawingml/2006/picture">
                        <pic:nvPicPr>
                          <pic:cNvPr id="62" name="Image 62"/>
                          <pic:cNvPicPr/>
                        </pic:nvPicPr>
                        <pic:blipFill>
                          <a:blip r:embed="rId80" cstate="print"/>
                          <a:stretch>
                            <a:fillRect/>
                          </a:stretch>
                        </pic:blipFill>
                        <pic:spPr>
                          <a:xfrm>
                            <a:off x="1978316" y="23495"/>
                            <a:ext cx="1971747" cy="145148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3.029999pt;margin-top:369.974304pt;width:311.05pt;height:116.15pt;mso-position-horizontal-relative:page;mso-position-vertical-relative:paragraph;z-index:-15718400;mso-wrap-distance-left:0;mso-wrap-distance-right:0" id="docshapegroup46" coordorigin="2861,7399" coordsize="6221,2323">
                <v:shape style="position:absolute;left:2860;top:7399;width:3056;height:2323" type="#_x0000_t75" id="docshape47" stroked="false">
                  <v:imagedata r:id="rId81" o:title=""/>
                </v:shape>
                <v:shape style="position:absolute;left:5976;top:7436;width:3106;height:2286" type="#_x0000_t75" id="docshape48" stroked="false">
                  <v:imagedata r:id="rId82" o:title=""/>
                </v:shape>
                <w10:wrap type="topAndBottom"/>
              </v:group>
            </w:pict>
          </mc:Fallback>
        </mc:AlternateContent>
      </w:r>
    </w:p>
    <w:p w14:paraId="2006930B" w14:textId="77777777" w:rsidR="00310096" w:rsidRDefault="00310096">
      <w:pPr>
        <w:pStyle w:val="Corpsdetexte"/>
        <w:rPr>
          <w:sz w:val="19"/>
        </w:rPr>
      </w:pPr>
    </w:p>
    <w:p w14:paraId="3743D65A" w14:textId="77777777" w:rsidR="00310096" w:rsidRDefault="00310096">
      <w:pPr>
        <w:pStyle w:val="Corpsdetexte"/>
        <w:spacing w:before="18"/>
        <w:rPr>
          <w:sz w:val="20"/>
        </w:rPr>
      </w:pPr>
    </w:p>
    <w:p w14:paraId="40830DDE" w14:textId="77777777" w:rsidR="00310096" w:rsidRDefault="00310096">
      <w:pPr>
        <w:pStyle w:val="Corpsdetexte"/>
        <w:spacing w:before="17"/>
      </w:pPr>
    </w:p>
    <w:p w14:paraId="7EB7C8F3" w14:textId="77777777" w:rsidR="00310096" w:rsidRDefault="00000000">
      <w:pPr>
        <w:pStyle w:val="Paragraphedeliste"/>
        <w:numPr>
          <w:ilvl w:val="0"/>
          <w:numId w:val="1"/>
        </w:numPr>
        <w:tabs>
          <w:tab w:val="left" w:pos="885"/>
        </w:tabs>
        <w:ind w:right="157"/>
      </w:pPr>
      <w:r>
        <w:t>un certain nombre de publications dans des médias couvrant les territoires de divers États membres de l’Union européenne tels que la France, l’Allemagne, l’Espagne, la Suède, la Pologne et l’Italie (par exemple, Elle, Grazia, Instyle, Harpers Bazaar, Vogue, Styleby, Marie Claire), datées entre 2017 et 2022, fournissant des informations sur des campagnes de l’opposante, des événements autour de la marque,</w:t>
      </w:r>
      <w:r>
        <w:rPr>
          <w:spacing w:val="-1"/>
        </w:rPr>
        <w:t xml:space="preserve"> </w:t>
      </w:r>
      <w:r>
        <w:t>des</w:t>
      </w:r>
      <w:r>
        <w:rPr>
          <w:spacing w:val="-3"/>
        </w:rPr>
        <w:t xml:space="preserve"> </w:t>
      </w:r>
      <w:r>
        <w:t>collaborations avec des</w:t>
      </w:r>
      <w:r>
        <w:rPr>
          <w:spacing w:val="-2"/>
        </w:rPr>
        <w:t xml:space="preserve"> </w:t>
      </w:r>
      <w:r>
        <w:t>tiers,</w:t>
      </w:r>
      <w:r>
        <w:rPr>
          <w:spacing w:val="-1"/>
        </w:rPr>
        <w:t xml:space="preserve"> </w:t>
      </w:r>
      <w:r>
        <w:t>sur</w:t>
      </w:r>
      <w:r>
        <w:rPr>
          <w:spacing w:val="-2"/>
        </w:rPr>
        <w:t xml:space="preserve"> </w:t>
      </w:r>
      <w:r>
        <w:t>lesquels</w:t>
      </w:r>
      <w:r>
        <w:rPr>
          <w:spacing w:val="-3"/>
        </w:rPr>
        <w:t xml:space="preserve"> </w:t>
      </w:r>
      <w:r>
        <w:t>sont</w:t>
      </w:r>
      <w:r>
        <w:rPr>
          <w:spacing w:val="-4"/>
        </w:rPr>
        <w:t xml:space="preserve"> </w:t>
      </w:r>
      <w:r>
        <w:t>représentés</w:t>
      </w:r>
      <w:r>
        <w:rPr>
          <w:spacing w:val="-3"/>
        </w:rPr>
        <w:t xml:space="preserve"> </w:t>
      </w:r>
      <w:r>
        <w:t>divers types de produits portant la marque, en particulier divers types de vêtements — tee-shirts, chemisettes, croisettes:</w:t>
      </w:r>
    </w:p>
    <w:p w14:paraId="6BA5012B" w14:textId="77777777" w:rsidR="00310096" w:rsidRDefault="00310096">
      <w:pPr>
        <w:pStyle w:val="Paragraphedeliste"/>
        <w:sectPr w:rsidR="00310096">
          <w:pgSz w:w="11910" w:h="16840"/>
          <w:pgMar w:top="1000" w:right="1275" w:bottom="280" w:left="1275" w:header="727" w:footer="0" w:gutter="0"/>
          <w:cols w:space="720"/>
        </w:sectPr>
      </w:pPr>
    </w:p>
    <w:p w14:paraId="342AC83B" w14:textId="77777777" w:rsidR="00310096" w:rsidRDefault="00000000">
      <w:pPr>
        <w:pStyle w:val="Corpsdetexte"/>
        <w:rPr>
          <w:sz w:val="20"/>
        </w:rPr>
      </w:pPr>
      <w:r>
        <w:rPr>
          <w:noProof/>
          <w:sz w:val="20"/>
        </w:rPr>
        <w:lastRenderedPageBreak/>
        <mc:AlternateContent>
          <mc:Choice Requires="wps">
            <w:drawing>
              <wp:anchor distT="0" distB="0" distL="0" distR="0" simplePos="0" relativeHeight="15741440" behindDoc="0" locked="0" layoutInCell="1" allowOverlap="1" wp14:anchorId="70521B94" wp14:editId="18F8F015">
                <wp:simplePos x="0" y="0"/>
                <wp:positionH relativeFrom="page">
                  <wp:posOffset>270575</wp:posOffset>
                </wp:positionH>
                <wp:positionV relativeFrom="page">
                  <wp:posOffset>1114363</wp:posOffset>
                </wp:positionV>
                <wp:extent cx="146050" cy="92100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7B99108"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1440" type="#_x0000_t202" id="docshape49"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685051C7" w14:textId="77777777" w:rsidR="00310096" w:rsidRDefault="00310096">
      <w:pPr>
        <w:pStyle w:val="Corpsdetexte"/>
        <w:spacing w:before="44"/>
        <w:rPr>
          <w:sz w:val="20"/>
        </w:rPr>
      </w:pPr>
    </w:p>
    <w:p w14:paraId="6C5E3108" w14:textId="77777777" w:rsidR="00310096" w:rsidRDefault="00000000">
      <w:pPr>
        <w:pStyle w:val="Corpsdetexte"/>
        <w:ind w:left="413"/>
        <w:rPr>
          <w:sz w:val="20"/>
        </w:rPr>
      </w:pPr>
      <w:r>
        <w:rPr>
          <w:noProof/>
          <w:sz w:val="20"/>
        </w:rPr>
        <mc:AlternateContent>
          <mc:Choice Requires="wps">
            <w:drawing>
              <wp:inline distT="0" distB="0" distL="0" distR="0" wp14:anchorId="211F1E16" wp14:editId="41D1FE45">
                <wp:extent cx="5417185" cy="3703954"/>
                <wp:effectExtent l="0" t="0" r="0" b="127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7185" cy="3703954"/>
                          <a:chOff x="0" y="0"/>
                          <a:chExt cx="5417185" cy="3703954"/>
                        </a:xfrm>
                      </wpg:grpSpPr>
                      <pic:pic xmlns:pic="http://schemas.openxmlformats.org/drawingml/2006/picture">
                        <pic:nvPicPr>
                          <pic:cNvPr id="65" name="Image 65"/>
                          <pic:cNvPicPr/>
                        </pic:nvPicPr>
                        <pic:blipFill>
                          <a:blip r:embed="rId83" cstate="print"/>
                          <a:stretch>
                            <a:fillRect/>
                          </a:stretch>
                        </pic:blipFill>
                        <pic:spPr>
                          <a:xfrm>
                            <a:off x="0" y="58156"/>
                            <a:ext cx="2380488" cy="1730638"/>
                          </a:xfrm>
                          <a:prstGeom prst="rect">
                            <a:avLst/>
                          </a:prstGeom>
                        </pic:spPr>
                      </pic:pic>
                      <pic:pic xmlns:pic="http://schemas.openxmlformats.org/drawingml/2006/picture">
                        <pic:nvPicPr>
                          <pic:cNvPr id="66" name="Image 66"/>
                          <pic:cNvPicPr/>
                        </pic:nvPicPr>
                        <pic:blipFill>
                          <a:blip r:embed="rId84" cstate="print"/>
                          <a:stretch>
                            <a:fillRect/>
                          </a:stretch>
                        </pic:blipFill>
                        <pic:spPr>
                          <a:xfrm>
                            <a:off x="2380614" y="0"/>
                            <a:ext cx="3036570" cy="1788795"/>
                          </a:xfrm>
                          <a:prstGeom prst="rect">
                            <a:avLst/>
                          </a:prstGeom>
                        </pic:spPr>
                      </pic:pic>
                      <pic:pic xmlns:pic="http://schemas.openxmlformats.org/drawingml/2006/picture">
                        <pic:nvPicPr>
                          <pic:cNvPr id="67" name="Image 67"/>
                          <pic:cNvPicPr/>
                        </pic:nvPicPr>
                        <pic:blipFill>
                          <a:blip r:embed="rId85" cstate="print"/>
                          <a:stretch>
                            <a:fillRect/>
                          </a:stretch>
                        </pic:blipFill>
                        <pic:spPr>
                          <a:xfrm>
                            <a:off x="337184" y="1809750"/>
                            <a:ext cx="1897380" cy="1894077"/>
                          </a:xfrm>
                          <a:prstGeom prst="rect">
                            <a:avLst/>
                          </a:prstGeom>
                        </pic:spPr>
                      </pic:pic>
                      <pic:pic xmlns:pic="http://schemas.openxmlformats.org/drawingml/2006/picture">
                        <pic:nvPicPr>
                          <pic:cNvPr id="68" name="Image 68"/>
                          <pic:cNvPicPr/>
                        </pic:nvPicPr>
                        <pic:blipFill>
                          <a:blip r:embed="rId86" cstate="print"/>
                          <a:stretch>
                            <a:fillRect/>
                          </a:stretch>
                        </pic:blipFill>
                        <pic:spPr>
                          <a:xfrm>
                            <a:off x="2369854" y="1788795"/>
                            <a:ext cx="2705790" cy="191515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26.55pt;height:291.650pt;mso-position-horizontal-relative:char;mso-position-vertical-relative:line" id="docshapegroup50" coordorigin="0,0" coordsize="8531,5833">
                <v:shape style="position:absolute;left:0;top:91;width:3749;height:2726" type="#_x0000_t75" id="docshape51" stroked="false">
                  <v:imagedata r:id="rId87" o:title=""/>
                </v:shape>
                <v:shape style="position:absolute;left:3749;top:0;width:4782;height:2817" type="#_x0000_t75" id="docshape52" stroked="false">
                  <v:imagedata r:id="rId88" o:title=""/>
                </v:shape>
                <v:shape style="position:absolute;left:531;top:2850;width:2988;height:2983" type="#_x0000_t75" id="docshape53" stroked="false">
                  <v:imagedata r:id="rId89" o:title=""/>
                </v:shape>
                <v:shape style="position:absolute;left:3732;top:2817;width:4262;height:3016" type="#_x0000_t75" id="docshape54" stroked="false">
                  <v:imagedata r:id="rId90" o:title=""/>
                </v:shape>
              </v:group>
            </w:pict>
          </mc:Fallback>
        </mc:AlternateContent>
      </w:r>
    </w:p>
    <w:p w14:paraId="748BF5C4" w14:textId="77777777" w:rsidR="00310096" w:rsidRDefault="00000000">
      <w:pPr>
        <w:pStyle w:val="Corpsdetexte"/>
        <w:spacing w:before="5"/>
        <w:rPr>
          <w:sz w:val="20"/>
        </w:rPr>
      </w:pPr>
      <w:r>
        <w:rPr>
          <w:noProof/>
          <w:sz w:val="20"/>
        </w:rPr>
        <w:drawing>
          <wp:anchor distT="0" distB="0" distL="0" distR="0" simplePos="0" relativeHeight="487599616" behindDoc="1" locked="0" layoutInCell="1" allowOverlap="1" wp14:anchorId="30147376" wp14:editId="1B9E39E8">
            <wp:simplePos x="0" y="0"/>
            <wp:positionH relativeFrom="page">
              <wp:posOffset>1392427</wp:posOffset>
            </wp:positionH>
            <wp:positionV relativeFrom="paragraph">
              <wp:posOffset>164972</wp:posOffset>
            </wp:positionV>
            <wp:extent cx="3165032" cy="246430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1" cstate="print"/>
                    <a:stretch>
                      <a:fillRect/>
                    </a:stretch>
                  </pic:blipFill>
                  <pic:spPr>
                    <a:xfrm>
                      <a:off x="0" y="0"/>
                      <a:ext cx="3165032" cy="2464307"/>
                    </a:xfrm>
                    <a:prstGeom prst="rect">
                      <a:avLst/>
                    </a:prstGeom>
                  </pic:spPr>
                </pic:pic>
              </a:graphicData>
            </a:graphic>
          </wp:anchor>
        </w:drawing>
      </w:r>
      <w:r>
        <w:rPr>
          <w:noProof/>
          <w:sz w:val="20"/>
        </w:rPr>
        <w:drawing>
          <wp:anchor distT="0" distB="0" distL="0" distR="0" simplePos="0" relativeHeight="487600128" behindDoc="1" locked="0" layoutInCell="1" allowOverlap="1" wp14:anchorId="20202A10" wp14:editId="0CFA64CF">
            <wp:simplePos x="0" y="0"/>
            <wp:positionH relativeFrom="page">
              <wp:posOffset>4785407</wp:posOffset>
            </wp:positionH>
            <wp:positionV relativeFrom="paragraph">
              <wp:posOffset>168275</wp:posOffset>
            </wp:positionV>
            <wp:extent cx="1388942" cy="2479929"/>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2" cstate="print"/>
                    <a:stretch>
                      <a:fillRect/>
                    </a:stretch>
                  </pic:blipFill>
                  <pic:spPr>
                    <a:xfrm>
                      <a:off x="0" y="0"/>
                      <a:ext cx="1388942" cy="2479929"/>
                    </a:xfrm>
                    <a:prstGeom prst="rect">
                      <a:avLst/>
                    </a:prstGeom>
                  </pic:spPr>
                </pic:pic>
              </a:graphicData>
            </a:graphic>
          </wp:anchor>
        </w:drawing>
      </w:r>
    </w:p>
    <w:p w14:paraId="386055C4" w14:textId="77777777" w:rsidR="00310096" w:rsidRDefault="00310096">
      <w:pPr>
        <w:pStyle w:val="Corpsdetexte"/>
      </w:pPr>
    </w:p>
    <w:p w14:paraId="62C719E4" w14:textId="77777777" w:rsidR="00310096" w:rsidRDefault="00310096">
      <w:pPr>
        <w:pStyle w:val="Corpsdetexte"/>
      </w:pPr>
    </w:p>
    <w:p w14:paraId="0B3929EE" w14:textId="77777777" w:rsidR="00310096" w:rsidRDefault="00310096">
      <w:pPr>
        <w:pStyle w:val="Corpsdetexte"/>
        <w:spacing w:before="17"/>
      </w:pPr>
    </w:p>
    <w:p w14:paraId="2B0A4ABB" w14:textId="77777777" w:rsidR="00310096" w:rsidRDefault="00000000">
      <w:pPr>
        <w:ind w:left="525"/>
        <w:rPr>
          <w:rFonts w:ascii="Arial" w:hAnsi="Arial"/>
          <w:i/>
        </w:rPr>
      </w:pPr>
      <w:r>
        <w:rPr>
          <w:rFonts w:ascii="Arial" w:hAnsi="Arial"/>
          <w:i/>
        </w:rPr>
        <w:t>Appréciation</w:t>
      </w:r>
      <w:r>
        <w:rPr>
          <w:rFonts w:ascii="Arial" w:hAnsi="Arial"/>
          <w:i/>
          <w:spacing w:val="-6"/>
        </w:rPr>
        <w:t xml:space="preserve"> </w:t>
      </w:r>
      <w:r>
        <w:rPr>
          <w:rFonts w:ascii="Arial" w:hAnsi="Arial"/>
          <w:i/>
        </w:rPr>
        <w:t>globale</w:t>
      </w:r>
      <w:r>
        <w:rPr>
          <w:rFonts w:ascii="Arial" w:hAnsi="Arial"/>
          <w:i/>
          <w:spacing w:val="-5"/>
        </w:rPr>
        <w:t xml:space="preserve"> </w:t>
      </w:r>
      <w:r>
        <w:rPr>
          <w:rFonts w:ascii="Arial" w:hAnsi="Arial"/>
          <w:i/>
        </w:rPr>
        <w:t>(usage</w:t>
      </w:r>
      <w:r>
        <w:rPr>
          <w:rFonts w:ascii="Arial" w:hAnsi="Arial"/>
          <w:i/>
          <w:spacing w:val="-5"/>
        </w:rPr>
        <w:t xml:space="preserve"> </w:t>
      </w:r>
      <w:r>
        <w:rPr>
          <w:rFonts w:ascii="Arial" w:hAnsi="Arial"/>
          <w:i/>
        </w:rPr>
        <w:t>sérieux</w:t>
      </w:r>
      <w:r>
        <w:rPr>
          <w:rFonts w:ascii="Arial" w:hAnsi="Arial"/>
          <w:i/>
          <w:spacing w:val="-7"/>
        </w:rPr>
        <w:t xml:space="preserve"> </w:t>
      </w:r>
      <w:r>
        <w:rPr>
          <w:rFonts w:ascii="Arial" w:hAnsi="Arial"/>
          <w:i/>
        </w:rPr>
        <w:t>et</w:t>
      </w:r>
      <w:r>
        <w:rPr>
          <w:rFonts w:ascii="Arial" w:hAnsi="Arial"/>
          <w:i/>
          <w:spacing w:val="-6"/>
        </w:rPr>
        <w:t xml:space="preserve"> </w:t>
      </w:r>
      <w:r>
        <w:rPr>
          <w:rFonts w:ascii="Arial" w:hAnsi="Arial"/>
          <w:i/>
          <w:spacing w:val="-2"/>
        </w:rPr>
        <w:t>renommée)</w:t>
      </w:r>
    </w:p>
    <w:p w14:paraId="44E1B569" w14:textId="77777777" w:rsidR="00310096" w:rsidRDefault="00310096">
      <w:pPr>
        <w:pStyle w:val="Corpsdetexte"/>
        <w:rPr>
          <w:rFonts w:ascii="Arial"/>
          <w:i/>
        </w:rPr>
      </w:pPr>
    </w:p>
    <w:p w14:paraId="21F94FF1" w14:textId="77777777" w:rsidR="00310096" w:rsidRDefault="00000000">
      <w:pPr>
        <w:pStyle w:val="Corpsdetexte"/>
        <w:ind w:left="165" w:right="163"/>
        <w:jc w:val="both"/>
      </w:pPr>
      <w:r>
        <w:t>Il convient de noter d’emblée que la demanderesse n’a pas contesté l’usage de la marque</w:t>
      </w:r>
      <w:r>
        <w:rPr>
          <w:spacing w:val="40"/>
        </w:rPr>
        <w:t xml:space="preserve"> </w:t>
      </w:r>
      <w:r>
        <w:t>de l’opposante, pas plus qu’elle n’a contesté sa prétendue renommée.</w:t>
      </w:r>
    </w:p>
    <w:p w14:paraId="747C9F5F" w14:textId="77777777" w:rsidR="00310096" w:rsidRDefault="00310096">
      <w:pPr>
        <w:pStyle w:val="Corpsdetexte"/>
      </w:pPr>
    </w:p>
    <w:p w14:paraId="6BFB0302" w14:textId="77777777" w:rsidR="00310096" w:rsidRDefault="00000000">
      <w:pPr>
        <w:pStyle w:val="Corpsdetexte"/>
        <w:ind w:left="165" w:right="156"/>
        <w:jc w:val="both"/>
      </w:pPr>
      <w:r>
        <w:t>À la lumière des éléments de preuve présentés ci-dessus, la division d’opposition conclut que la marque antérieure a non seulement fait l’objet d’un usage suffisant et pendant une période ininterrompue, y compris au cours de la période pertinente de la preuve de l’usage</w:t>
      </w:r>
      <w:r>
        <w:rPr>
          <w:spacing w:val="40"/>
        </w:rPr>
        <w:t xml:space="preserve"> </w:t>
      </w:r>
      <w:r>
        <w:t>et sous sa forme enregistrée, satisfaisant ainsi aux conditions requises pour démontrer l’usage sérieux, mais qu’elle a acquis un très large degré de renommée dans l’Union européenne</w:t>
      </w:r>
      <w:r>
        <w:rPr>
          <w:spacing w:val="-2"/>
        </w:rPr>
        <w:t xml:space="preserve"> </w:t>
      </w:r>
      <w:r>
        <w:t>pour</w:t>
      </w:r>
      <w:r>
        <w:rPr>
          <w:spacing w:val="-3"/>
        </w:rPr>
        <w:t xml:space="preserve"> </w:t>
      </w:r>
      <w:r>
        <w:t>tous</w:t>
      </w:r>
      <w:r>
        <w:rPr>
          <w:spacing w:val="-1"/>
        </w:rPr>
        <w:t xml:space="preserve"> </w:t>
      </w:r>
      <w:r>
        <w:t>les</w:t>
      </w:r>
      <w:r>
        <w:rPr>
          <w:spacing w:val="-1"/>
        </w:rPr>
        <w:t xml:space="preserve"> </w:t>
      </w:r>
      <w:r>
        <w:t>produits</w:t>
      </w:r>
      <w:r>
        <w:rPr>
          <w:spacing w:val="-1"/>
        </w:rPr>
        <w:t xml:space="preserve"> </w:t>
      </w:r>
      <w:r>
        <w:t>pour</w:t>
      </w:r>
      <w:r>
        <w:rPr>
          <w:spacing w:val="-1"/>
        </w:rPr>
        <w:t xml:space="preserve"> </w:t>
      </w:r>
      <w:r>
        <w:t>lesquels</w:t>
      </w:r>
      <w:r>
        <w:rPr>
          <w:spacing w:val="-1"/>
        </w:rPr>
        <w:t xml:space="preserve"> </w:t>
      </w:r>
      <w:r>
        <w:t>l’opposante</w:t>
      </w:r>
      <w:r>
        <w:rPr>
          <w:spacing w:val="-2"/>
        </w:rPr>
        <w:t xml:space="preserve"> </w:t>
      </w:r>
      <w:r>
        <w:t>a</w:t>
      </w:r>
      <w:r>
        <w:rPr>
          <w:spacing w:val="-1"/>
        </w:rPr>
        <w:t xml:space="preserve"> </w:t>
      </w:r>
      <w:r>
        <w:t>revendiqué</w:t>
      </w:r>
      <w:r>
        <w:rPr>
          <w:spacing w:val="-4"/>
        </w:rPr>
        <w:t xml:space="preserve"> </w:t>
      </w:r>
      <w:r>
        <w:t>une</w:t>
      </w:r>
      <w:r>
        <w:rPr>
          <w:spacing w:val="-2"/>
        </w:rPr>
        <w:t xml:space="preserve"> </w:t>
      </w:r>
      <w:r>
        <w:t xml:space="preserve">renommée, à savoir: </w:t>
      </w:r>
      <w:r>
        <w:rPr>
          <w:rFonts w:ascii="Arial" w:hAnsi="Arial"/>
          <w:i/>
        </w:rPr>
        <w:t xml:space="preserve">sacs </w:t>
      </w:r>
      <w:r>
        <w:t xml:space="preserve">compris dans la classe 18 et </w:t>
      </w:r>
      <w:r>
        <w:rPr>
          <w:rFonts w:ascii="Arial" w:hAnsi="Arial"/>
          <w:i/>
        </w:rPr>
        <w:t xml:space="preserve">vêtements </w:t>
      </w:r>
      <w:r>
        <w:t>compris dans la classe 25.</w:t>
      </w:r>
    </w:p>
    <w:p w14:paraId="17AF5B8A" w14:textId="77777777" w:rsidR="00310096" w:rsidRDefault="00310096">
      <w:pPr>
        <w:pStyle w:val="Corpsdetexte"/>
        <w:jc w:val="both"/>
        <w:sectPr w:rsidR="00310096">
          <w:pgSz w:w="11910" w:h="16840"/>
          <w:pgMar w:top="1000" w:right="1275" w:bottom="280" w:left="1275" w:header="727" w:footer="0" w:gutter="0"/>
          <w:cols w:space="720"/>
        </w:sectPr>
      </w:pPr>
    </w:p>
    <w:p w14:paraId="3D5781B1" w14:textId="77777777" w:rsidR="00310096" w:rsidRDefault="00000000">
      <w:pPr>
        <w:pStyle w:val="Corpsdetexte"/>
      </w:pPr>
      <w:r>
        <w:rPr>
          <w:noProof/>
        </w:rPr>
        <w:lastRenderedPageBreak/>
        <mc:AlternateContent>
          <mc:Choice Requires="wps">
            <w:drawing>
              <wp:anchor distT="0" distB="0" distL="0" distR="0" simplePos="0" relativeHeight="15741952" behindDoc="0" locked="0" layoutInCell="1" allowOverlap="1" wp14:anchorId="7CFA0720" wp14:editId="1EF06418">
                <wp:simplePos x="0" y="0"/>
                <wp:positionH relativeFrom="page">
                  <wp:posOffset>270575</wp:posOffset>
                </wp:positionH>
                <wp:positionV relativeFrom="page">
                  <wp:posOffset>1114363</wp:posOffset>
                </wp:positionV>
                <wp:extent cx="146050" cy="92100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9F02AE7"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1952" type="#_x0000_t202" id="docshape55"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611744DB" w14:textId="77777777" w:rsidR="00310096" w:rsidRDefault="00310096">
      <w:pPr>
        <w:pStyle w:val="Corpsdetexte"/>
        <w:spacing w:before="180"/>
      </w:pPr>
    </w:p>
    <w:p w14:paraId="54B9726E" w14:textId="77777777" w:rsidR="00310096" w:rsidRDefault="00000000">
      <w:pPr>
        <w:pStyle w:val="Corpsdetexte"/>
        <w:spacing w:before="1"/>
        <w:ind w:left="165" w:right="159"/>
        <w:jc w:val="both"/>
      </w:pPr>
      <w:r>
        <w:t>Il ressort clairement des éléments de preuve que la marque antérieure a fait l’objet d’un usage long et intensif depuis sa création dans les années 1950. En outre, il devient évident que la marque est un logo très connu d’une marque de luxe qui jouit d’une position solide parmi d’autres marques de premier plan dans l’industrie mondiale de la mode. Ces informations peuvent être déduites de diverses sources indépendantes, notamment des classements figurant à l’annexe 5. Ils démontrent, dans une certaine mesure, les dépenses de</w:t>
      </w:r>
      <w:r>
        <w:rPr>
          <w:spacing w:val="-2"/>
        </w:rPr>
        <w:t xml:space="preserve"> </w:t>
      </w:r>
      <w:r>
        <w:t>marketing et</w:t>
      </w:r>
      <w:r>
        <w:rPr>
          <w:spacing w:val="-3"/>
        </w:rPr>
        <w:t xml:space="preserve"> </w:t>
      </w:r>
      <w:r>
        <w:t>la</w:t>
      </w:r>
      <w:r>
        <w:rPr>
          <w:spacing w:val="-2"/>
        </w:rPr>
        <w:t xml:space="preserve"> </w:t>
      </w:r>
      <w:r>
        <w:t>part</w:t>
      </w:r>
      <w:r>
        <w:rPr>
          <w:spacing w:val="-3"/>
        </w:rPr>
        <w:t xml:space="preserve"> </w:t>
      </w:r>
      <w:r>
        <w:t>de</w:t>
      </w:r>
      <w:r>
        <w:rPr>
          <w:spacing w:val="-2"/>
        </w:rPr>
        <w:t xml:space="preserve"> </w:t>
      </w:r>
      <w:r>
        <w:t>marché</w:t>
      </w:r>
      <w:r>
        <w:rPr>
          <w:spacing w:val="-4"/>
        </w:rPr>
        <w:t xml:space="preserve"> </w:t>
      </w:r>
      <w:r>
        <w:t>dans</w:t>
      </w:r>
      <w:r>
        <w:rPr>
          <w:spacing w:val="-2"/>
        </w:rPr>
        <w:t xml:space="preserve"> </w:t>
      </w:r>
      <w:r>
        <w:t>plusieurs</w:t>
      </w:r>
      <w:r>
        <w:rPr>
          <w:spacing w:val="-4"/>
        </w:rPr>
        <w:t xml:space="preserve"> </w:t>
      </w:r>
      <w:r>
        <w:t>pays</w:t>
      </w:r>
      <w:r>
        <w:rPr>
          <w:spacing w:val="-1"/>
        </w:rPr>
        <w:t xml:space="preserve"> </w:t>
      </w:r>
      <w:r>
        <w:t>de</w:t>
      </w:r>
      <w:r>
        <w:rPr>
          <w:spacing w:val="-2"/>
        </w:rPr>
        <w:t xml:space="preserve"> </w:t>
      </w:r>
      <w:r>
        <w:t>l’UE, et</w:t>
      </w:r>
      <w:r>
        <w:rPr>
          <w:spacing w:val="-1"/>
        </w:rPr>
        <w:t xml:space="preserve"> </w:t>
      </w:r>
      <w:r>
        <w:t>à</w:t>
      </w:r>
      <w:r>
        <w:rPr>
          <w:spacing w:val="-2"/>
        </w:rPr>
        <w:t xml:space="preserve"> </w:t>
      </w:r>
      <w:r>
        <w:t>l’échelle</w:t>
      </w:r>
      <w:r>
        <w:rPr>
          <w:spacing w:val="-2"/>
        </w:rPr>
        <w:t xml:space="preserve"> </w:t>
      </w:r>
      <w:r>
        <w:t>mondiale.</w:t>
      </w:r>
      <w:r>
        <w:rPr>
          <w:spacing w:val="-1"/>
        </w:rPr>
        <w:t xml:space="preserve"> </w:t>
      </w:r>
      <w:r>
        <w:t>Cette conclusion est encore renforcée par les références dans la presse au succès de la marque (annexe 6) et à la présence médiatique répandue dans la plupart des États membres, comme indiqué à l’annexe 7.</w:t>
      </w:r>
    </w:p>
    <w:p w14:paraId="6967BCE0" w14:textId="77777777" w:rsidR="00310096" w:rsidRDefault="00310096">
      <w:pPr>
        <w:pStyle w:val="Corpsdetexte"/>
        <w:spacing w:before="1"/>
      </w:pPr>
    </w:p>
    <w:p w14:paraId="4BC5D230" w14:textId="77777777" w:rsidR="00310096" w:rsidRDefault="00000000">
      <w:pPr>
        <w:pStyle w:val="Corpsdetexte"/>
        <w:ind w:left="165" w:right="161"/>
        <w:jc w:val="both"/>
      </w:pPr>
      <w:r>
        <w:t>Les articles provenant de différentes sources tierces montrent que Gucci (y compris la marque en cause) est une marque établie pour des vêtements et des sacs. En outre, certains de ses produits ont été illustrés et compte tenu du statut «emblématique» au cours d’une période antérieure suffisamment proche du dépôt de la demande contestée. En outre, le matériel publicitaire et promotionnel figurant dans les principaux magazines de mode et</w:t>
      </w:r>
      <w:r>
        <w:rPr>
          <w:spacing w:val="40"/>
        </w:rPr>
        <w:t xml:space="preserve"> </w:t>
      </w:r>
      <w:r>
        <w:t>les médias en ligne de l’UE démontre la présence continue et fréquente de la marque au cours des 5 dernières années. Les catalogues et les extraits des annexes 2, 3 et 4 servent également à démontrer une large gamme de produits sur lesquels la marque antérieure est apposée depuis de nombreuses années et ont été rénovés avec succès plus récemment. L’opposante fait également remarquer que ses produits sont largement accessibles aux consommateurs de l’Union européenne. Il se concentre également en particulier sur son siège en Italie et dans certaines villes de mode de l’UE, où il tient régulièrement des défilés de mode (Milan, Florence et Paris).</w:t>
      </w:r>
    </w:p>
    <w:p w14:paraId="7F1D5C17" w14:textId="77777777" w:rsidR="00310096" w:rsidRDefault="00310096">
      <w:pPr>
        <w:pStyle w:val="Corpsdetexte"/>
        <w:spacing w:before="1"/>
      </w:pPr>
    </w:p>
    <w:p w14:paraId="2462EAB3" w14:textId="77777777" w:rsidR="00310096" w:rsidRDefault="00000000">
      <w:pPr>
        <w:pStyle w:val="Corpsdetexte"/>
        <w:ind w:left="165" w:right="157"/>
        <w:jc w:val="both"/>
      </w:pPr>
      <w:r>
        <w:t xml:space="preserve">Par souci d’exhaustivité, l’usage continu de la marque a également été démontré dans le cadre pertinent pour l’ </w:t>
      </w:r>
      <w:r>
        <w:rPr>
          <w:rFonts w:ascii="Arial" w:hAnsi="Arial"/>
          <w:b/>
        </w:rPr>
        <w:t xml:space="preserve">appréciation de </w:t>
      </w:r>
      <w:r>
        <w:t xml:space="preserve">l’ </w:t>
      </w:r>
      <w:r>
        <w:rPr>
          <w:rFonts w:ascii="Arial" w:hAnsi="Arial"/>
          <w:b/>
        </w:rPr>
        <w:t>usage sérieux</w:t>
      </w:r>
      <w:r>
        <w:t>, à savoir entre 2017 et 2022</w:t>
      </w:r>
      <w:r>
        <w:rPr>
          <w:rFonts w:ascii="Arial" w:hAnsi="Arial"/>
          <w:b/>
        </w:rPr>
        <w:t xml:space="preserve">, </w:t>
      </w:r>
      <w:r>
        <w:t>par les nombreuses publications (également celles produites par des documents complémentaires ac pour l’appréciation de la preuve de l’usage), dans lesquelles la marque apparaît non seulement dans des messages médiatiques commandés avec des références de prix, mais dans des articles indépendants ou des classements où elle occupe une</w:t>
      </w:r>
      <w:r>
        <w:rPr>
          <w:spacing w:val="40"/>
        </w:rPr>
        <w:t xml:space="preserve"> </w:t>
      </w:r>
      <w:r>
        <w:t>position parmi ses concurrents, fournissant ainsi une idée claire des ventes continues de la marque de vêtements et sacs pendant la période susmentionnée, comme démontré ci- dessus. Bien que les classements eux-mêmes ne fournissent pas de détails sur les chiffres d’affaires concernant le signe en particulier, le fait que plusieurs articles reflètent divers vêtements ou sacs en tant que bestvendeurs sur le marché de l’Union suffit à lui seul à démontrer que la marque examinée est utilisée dans une très large mesure et génère une partie significative de l’issue de l’opposante.</w:t>
      </w:r>
    </w:p>
    <w:p w14:paraId="01D290C0" w14:textId="77777777" w:rsidR="00310096" w:rsidRDefault="00000000">
      <w:pPr>
        <w:pStyle w:val="Corpsdetexte"/>
        <w:spacing w:before="252"/>
        <w:ind w:left="165" w:right="161"/>
        <w:jc w:val="both"/>
      </w:pPr>
      <w:r>
        <w:t xml:space="preserve">Dès lors, les éléments de preuve susmentionnés, considérés conjointement, montrent sans équivoque que la marque «GUCCI» de l’opposante revêt une importance particulière, d’un point de vue historique, parmi les principales marques de mode de luxe sur le territoire pertinent. En outre, en raison de son </w:t>
      </w:r>
      <w:r>
        <w:rPr>
          <w:rFonts w:ascii="Arial" w:hAnsi="Arial"/>
          <w:b/>
        </w:rPr>
        <w:t xml:space="preserve">usage de longue date </w:t>
      </w:r>
      <w:r>
        <w:t xml:space="preserve">(y compris entre 2017 et 2022) et d’une exposition massive du public, les logos GG sont indissociablement associés à l’opposante. En ce sens, la marque antérieure </w:t>
      </w:r>
      <w:r>
        <w:rPr>
          <w:noProof/>
          <w:spacing w:val="22"/>
        </w:rPr>
        <w:drawing>
          <wp:inline distT="0" distB="0" distL="0" distR="0" wp14:anchorId="073C9DCD" wp14:editId="3B7E73FA">
            <wp:extent cx="661035" cy="47594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 cstate="print"/>
                    <a:stretch>
                      <a:fillRect/>
                    </a:stretch>
                  </pic:blipFill>
                  <pic:spPr>
                    <a:xfrm>
                      <a:off x="0" y="0"/>
                      <a:ext cx="661035" cy="475945"/>
                    </a:xfrm>
                    <a:prstGeom prst="rect">
                      <a:avLst/>
                    </a:prstGeom>
                  </pic:spPr>
                </pic:pic>
              </a:graphicData>
            </a:graphic>
          </wp:inline>
        </w:drawing>
      </w:r>
      <w:r>
        <w:rPr>
          <w:rFonts w:ascii="Times New Roman" w:hAnsi="Times New Roman"/>
          <w:spacing w:val="5"/>
        </w:rPr>
        <w:t xml:space="preserve"> </w:t>
      </w:r>
      <w:r>
        <w:t>jouit d’un degré exceptionnel de renommée auprès du public pertinent en ce qui concerne: sacs et vêtements.</w:t>
      </w:r>
    </w:p>
    <w:p w14:paraId="0607C050" w14:textId="77777777" w:rsidR="00310096" w:rsidRDefault="00000000">
      <w:pPr>
        <w:spacing w:before="252" w:line="480" w:lineRule="auto"/>
        <w:ind w:left="165" w:right="79"/>
        <w:rPr>
          <w:rFonts w:ascii="Arial" w:hAnsi="Arial"/>
          <w:i/>
        </w:rPr>
      </w:pPr>
      <w:r>
        <w:t>À ce stade, il convient de noter que l’opposition est dirigée contre les produits suivants: Classe</w:t>
      </w:r>
      <w:r>
        <w:rPr>
          <w:spacing w:val="-4"/>
        </w:rPr>
        <w:t xml:space="preserve"> </w:t>
      </w:r>
      <w:r>
        <w:t>9:</w:t>
      </w:r>
      <w:r>
        <w:rPr>
          <w:spacing w:val="-2"/>
        </w:rPr>
        <w:t xml:space="preserve"> </w:t>
      </w:r>
      <w:r>
        <w:rPr>
          <w:rFonts w:ascii="Arial" w:hAnsi="Arial"/>
          <w:i/>
        </w:rPr>
        <w:t>Lunettes</w:t>
      </w:r>
      <w:r>
        <w:rPr>
          <w:rFonts w:ascii="Arial" w:hAnsi="Arial"/>
          <w:i/>
          <w:spacing w:val="-4"/>
        </w:rPr>
        <w:t xml:space="preserve"> </w:t>
      </w:r>
      <w:r>
        <w:rPr>
          <w:rFonts w:ascii="Arial" w:hAnsi="Arial"/>
          <w:i/>
        </w:rPr>
        <w:t>correcteurs;</w:t>
      </w:r>
      <w:r>
        <w:rPr>
          <w:rFonts w:ascii="Arial" w:hAnsi="Arial"/>
          <w:i/>
          <w:spacing w:val="-2"/>
        </w:rPr>
        <w:t xml:space="preserve"> </w:t>
      </w:r>
      <w:r>
        <w:rPr>
          <w:rFonts w:ascii="Arial" w:hAnsi="Arial"/>
          <w:i/>
        </w:rPr>
        <w:t>lunettes</w:t>
      </w:r>
      <w:r>
        <w:rPr>
          <w:rFonts w:ascii="Arial" w:hAnsi="Arial"/>
          <w:i/>
          <w:spacing w:val="-6"/>
        </w:rPr>
        <w:t xml:space="preserve"> </w:t>
      </w:r>
      <w:r>
        <w:rPr>
          <w:rFonts w:ascii="Arial" w:hAnsi="Arial"/>
          <w:i/>
        </w:rPr>
        <w:t>de</w:t>
      </w:r>
      <w:r>
        <w:rPr>
          <w:rFonts w:ascii="Arial" w:hAnsi="Arial"/>
          <w:i/>
          <w:spacing w:val="-6"/>
        </w:rPr>
        <w:t xml:space="preserve"> </w:t>
      </w:r>
      <w:r>
        <w:rPr>
          <w:rFonts w:ascii="Arial" w:hAnsi="Arial"/>
          <w:i/>
        </w:rPr>
        <w:t>soleil;</w:t>
      </w:r>
      <w:r>
        <w:rPr>
          <w:rFonts w:ascii="Arial" w:hAnsi="Arial"/>
          <w:i/>
          <w:spacing w:val="-2"/>
        </w:rPr>
        <w:t xml:space="preserve"> </w:t>
      </w:r>
      <w:r>
        <w:rPr>
          <w:rFonts w:ascii="Arial" w:hAnsi="Arial"/>
          <w:i/>
        </w:rPr>
        <w:t>étuis</w:t>
      </w:r>
      <w:r>
        <w:rPr>
          <w:rFonts w:ascii="Arial" w:hAnsi="Arial"/>
          <w:i/>
          <w:spacing w:val="-3"/>
        </w:rPr>
        <w:t xml:space="preserve"> </w:t>
      </w:r>
      <w:r>
        <w:rPr>
          <w:rFonts w:ascii="Arial" w:hAnsi="Arial"/>
          <w:i/>
        </w:rPr>
        <w:t>pour</w:t>
      </w:r>
      <w:r>
        <w:rPr>
          <w:rFonts w:ascii="Arial" w:hAnsi="Arial"/>
          <w:i/>
          <w:spacing w:val="-3"/>
        </w:rPr>
        <w:t xml:space="preserve"> </w:t>
      </w:r>
      <w:r>
        <w:rPr>
          <w:rFonts w:ascii="Arial" w:hAnsi="Arial"/>
          <w:i/>
        </w:rPr>
        <w:t>lunettes;</w:t>
      </w:r>
      <w:r>
        <w:rPr>
          <w:rFonts w:ascii="Arial" w:hAnsi="Arial"/>
          <w:i/>
          <w:spacing w:val="-2"/>
        </w:rPr>
        <w:t xml:space="preserve"> </w:t>
      </w:r>
      <w:r>
        <w:rPr>
          <w:rFonts w:ascii="Arial" w:hAnsi="Arial"/>
          <w:i/>
        </w:rPr>
        <w:t>lunettes</w:t>
      </w:r>
      <w:r>
        <w:rPr>
          <w:rFonts w:ascii="Arial" w:hAnsi="Arial"/>
          <w:i/>
          <w:spacing w:val="-6"/>
        </w:rPr>
        <w:t xml:space="preserve"> </w:t>
      </w:r>
      <w:r>
        <w:rPr>
          <w:rFonts w:ascii="Arial" w:hAnsi="Arial"/>
          <w:i/>
        </w:rPr>
        <w:t>polarisantes.</w:t>
      </w:r>
    </w:p>
    <w:p w14:paraId="72697722" w14:textId="77777777" w:rsidR="00310096" w:rsidRDefault="00310096">
      <w:pPr>
        <w:spacing w:line="480" w:lineRule="auto"/>
        <w:rPr>
          <w:rFonts w:ascii="Arial" w:hAnsi="Arial"/>
          <w:i/>
        </w:rPr>
        <w:sectPr w:rsidR="00310096">
          <w:pgSz w:w="11910" w:h="16840"/>
          <w:pgMar w:top="1000" w:right="1275" w:bottom="280" w:left="1275" w:header="727" w:footer="0" w:gutter="0"/>
          <w:cols w:space="720"/>
        </w:sectPr>
      </w:pPr>
    </w:p>
    <w:p w14:paraId="530C3B6B" w14:textId="77777777" w:rsidR="00310096" w:rsidRDefault="00000000">
      <w:pPr>
        <w:pStyle w:val="Corpsdetexte"/>
        <w:spacing w:before="181"/>
        <w:rPr>
          <w:rFonts w:ascii="Arial"/>
          <w:i/>
        </w:rPr>
      </w:pPr>
      <w:r>
        <w:rPr>
          <w:rFonts w:ascii="Arial"/>
          <w:i/>
          <w:noProof/>
        </w:rPr>
        <w:lastRenderedPageBreak/>
        <mc:AlternateContent>
          <mc:Choice Requires="wps">
            <w:drawing>
              <wp:anchor distT="0" distB="0" distL="0" distR="0" simplePos="0" relativeHeight="15742976" behindDoc="0" locked="0" layoutInCell="1" allowOverlap="1" wp14:anchorId="7D3401A1" wp14:editId="4F2F6616">
                <wp:simplePos x="0" y="0"/>
                <wp:positionH relativeFrom="page">
                  <wp:posOffset>270575</wp:posOffset>
                </wp:positionH>
                <wp:positionV relativeFrom="page">
                  <wp:posOffset>1114363</wp:posOffset>
                </wp:positionV>
                <wp:extent cx="146050" cy="92100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2979FB17"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2976" type="#_x0000_t202" id="docshape56"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17504DF7" w14:textId="77777777" w:rsidR="00310096" w:rsidRDefault="00000000">
      <w:pPr>
        <w:ind w:left="165"/>
        <w:rPr>
          <w:rFonts w:ascii="Arial" w:hAnsi="Arial"/>
          <w:i/>
        </w:rPr>
      </w:pPr>
      <w:r>
        <w:t>Classe</w:t>
      </w:r>
      <w:r>
        <w:rPr>
          <w:spacing w:val="75"/>
        </w:rPr>
        <w:t xml:space="preserve"> </w:t>
      </w:r>
      <w:r>
        <w:t>14:</w:t>
      </w:r>
      <w:r>
        <w:rPr>
          <w:spacing w:val="77"/>
        </w:rPr>
        <w:t xml:space="preserve"> </w:t>
      </w:r>
      <w:r>
        <w:rPr>
          <w:rFonts w:ascii="Arial" w:hAnsi="Arial"/>
          <w:i/>
        </w:rPr>
        <w:t>Métaux</w:t>
      </w:r>
      <w:r>
        <w:rPr>
          <w:rFonts w:ascii="Arial" w:hAnsi="Arial"/>
          <w:i/>
          <w:spacing w:val="73"/>
        </w:rPr>
        <w:t xml:space="preserve"> </w:t>
      </w:r>
      <w:r>
        <w:rPr>
          <w:rFonts w:ascii="Arial" w:hAnsi="Arial"/>
          <w:i/>
        </w:rPr>
        <w:t>précieux</w:t>
      </w:r>
      <w:r>
        <w:rPr>
          <w:rFonts w:ascii="Arial" w:hAnsi="Arial"/>
          <w:i/>
          <w:spacing w:val="76"/>
        </w:rPr>
        <w:t xml:space="preserve"> </w:t>
      </w:r>
      <w:r>
        <w:rPr>
          <w:rFonts w:ascii="Arial" w:hAnsi="Arial"/>
          <w:i/>
        </w:rPr>
        <w:t>et</w:t>
      </w:r>
      <w:r>
        <w:rPr>
          <w:rFonts w:ascii="Arial" w:hAnsi="Arial"/>
          <w:i/>
          <w:spacing w:val="76"/>
        </w:rPr>
        <w:t xml:space="preserve"> </w:t>
      </w:r>
      <w:r>
        <w:rPr>
          <w:rFonts w:ascii="Arial" w:hAnsi="Arial"/>
          <w:i/>
        </w:rPr>
        <w:t>leurs</w:t>
      </w:r>
      <w:r>
        <w:rPr>
          <w:rFonts w:ascii="Arial" w:hAnsi="Arial"/>
          <w:i/>
          <w:spacing w:val="73"/>
        </w:rPr>
        <w:t xml:space="preserve"> </w:t>
      </w:r>
      <w:r>
        <w:rPr>
          <w:rFonts w:ascii="Arial" w:hAnsi="Arial"/>
          <w:i/>
        </w:rPr>
        <w:t>alliages;</w:t>
      </w:r>
      <w:r>
        <w:rPr>
          <w:rFonts w:ascii="Arial" w:hAnsi="Arial"/>
          <w:i/>
          <w:spacing w:val="76"/>
        </w:rPr>
        <w:t xml:space="preserve"> </w:t>
      </w:r>
      <w:r>
        <w:rPr>
          <w:rFonts w:ascii="Arial" w:hAnsi="Arial"/>
          <w:i/>
        </w:rPr>
        <w:t>joaillerie,</w:t>
      </w:r>
      <w:r>
        <w:rPr>
          <w:rFonts w:ascii="Arial" w:hAnsi="Arial"/>
          <w:i/>
          <w:spacing w:val="76"/>
        </w:rPr>
        <w:t xml:space="preserve"> </w:t>
      </w:r>
      <w:r>
        <w:rPr>
          <w:rFonts w:ascii="Arial" w:hAnsi="Arial"/>
          <w:i/>
        </w:rPr>
        <w:t>bijouterie,</w:t>
      </w:r>
      <w:r>
        <w:rPr>
          <w:rFonts w:ascii="Arial" w:hAnsi="Arial"/>
          <w:i/>
          <w:spacing w:val="76"/>
        </w:rPr>
        <w:t xml:space="preserve"> </w:t>
      </w:r>
      <w:r>
        <w:rPr>
          <w:rFonts w:ascii="Arial" w:hAnsi="Arial"/>
          <w:i/>
        </w:rPr>
        <w:t>pierres</w:t>
      </w:r>
      <w:r>
        <w:rPr>
          <w:rFonts w:ascii="Arial" w:hAnsi="Arial"/>
          <w:i/>
          <w:spacing w:val="75"/>
        </w:rPr>
        <w:t xml:space="preserve"> </w:t>
      </w:r>
      <w:r>
        <w:rPr>
          <w:rFonts w:ascii="Arial" w:hAnsi="Arial"/>
          <w:i/>
        </w:rPr>
        <w:t>précieuses; horlogerie et instruments chronométriques;</w:t>
      </w:r>
    </w:p>
    <w:p w14:paraId="7ECBCB40" w14:textId="77777777" w:rsidR="00310096" w:rsidRDefault="00310096">
      <w:pPr>
        <w:pStyle w:val="Corpsdetexte"/>
        <w:spacing w:before="17"/>
        <w:rPr>
          <w:rFonts w:ascii="Arial"/>
          <w:i/>
        </w:rPr>
      </w:pPr>
    </w:p>
    <w:p w14:paraId="6B41643D" w14:textId="77777777" w:rsidR="00310096" w:rsidRDefault="00000000">
      <w:pPr>
        <w:ind w:left="165"/>
        <w:rPr>
          <w:rFonts w:ascii="Arial" w:hAnsi="Arial"/>
          <w:i/>
        </w:rPr>
      </w:pPr>
      <w:r>
        <w:t>Classe</w:t>
      </w:r>
      <w:r>
        <w:rPr>
          <w:spacing w:val="66"/>
        </w:rPr>
        <w:t xml:space="preserve"> </w:t>
      </w:r>
      <w:r>
        <w:t>18:</w:t>
      </w:r>
      <w:r>
        <w:rPr>
          <w:spacing w:val="68"/>
        </w:rPr>
        <w:t xml:space="preserve"> </w:t>
      </w:r>
      <w:r>
        <w:rPr>
          <w:rFonts w:ascii="Arial" w:hAnsi="Arial"/>
          <w:i/>
        </w:rPr>
        <w:t>Cuir</w:t>
      </w:r>
      <w:r>
        <w:rPr>
          <w:rFonts w:ascii="Arial" w:hAnsi="Arial"/>
          <w:i/>
          <w:spacing w:val="68"/>
        </w:rPr>
        <w:t xml:space="preserve"> </w:t>
      </w:r>
      <w:r>
        <w:rPr>
          <w:rFonts w:ascii="Arial" w:hAnsi="Arial"/>
          <w:i/>
        </w:rPr>
        <w:t>et</w:t>
      </w:r>
      <w:r>
        <w:rPr>
          <w:rFonts w:ascii="Arial" w:hAnsi="Arial"/>
          <w:i/>
          <w:spacing w:val="68"/>
        </w:rPr>
        <w:t xml:space="preserve"> </w:t>
      </w:r>
      <w:r>
        <w:rPr>
          <w:rFonts w:ascii="Arial" w:hAnsi="Arial"/>
          <w:i/>
        </w:rPr>
        <w:t>imitations</w:t>
      </w:r>
      <w:r>
        <w:rPr>
          <w:rFonts w:ascii="Arial" w:hAnsi="Arial"/>
          <w:i/>
          <w:spacing w:val="67"/>
        </w:rPr>
        <w:t xml:space="preserve"> </w:t>
      </w:r>
      <w:r>
        <w:rPr>
          <w:rFonts w:ascii="Arial" w:hAnsi="Arial"/>
          <w:i/>
        </w:rPr>
        <w:t>du</w:t>
      </w:r>
      <w:r>
        <w:rPr>
          <w:rFonts w:ascii="Arial" w:hAnsi="Arial"/>
          <w:i/>
          <w:spacing w:val="66"/>
        </w:rPr>
        <w:t xml:space="preserve"> </w:t>
      </w:r>
      <w:r>
        <w:rPr>
          <w:rFonts w:ascii="Arial" w:hAnsi="Arial"/>
          <w:i/>
        </w:rPr>
        <w:t>cuir;</w:t>
      </w:r>
      <w:r>
        <w:rPr>
          <w:rFonts w:ascii="Arial" w:hAnsi="Arial"/>
          <w:i/>
          <w:spacing w:val="66"/>
        </w:rPr>
        <w:t xml:space="preserve"> </w:t>
      </w:r>
      <w:r>
        <w:rPr>
          <w:rFonts w:ascii="Arial" w:hAnsi="Arial"/>
          <w:i/>
        </w:rPr>
        <w:t>peaux</w:t>
      </w:r>
      <w:r>
        <w:rPr>
          <w:rFonts w:ascii="Arial" w:hAnsi="Arial"/>
          <w:i/>
          <w:spacing w:val="40"/>
        </w:rPr>
        <w:t xml:space="preserve"> </w:t>
      </w:r>
      <w:r>
        <w:rPr>
          <w:rFonts w:ascii="Arial" w:hAnsi="Arial"/>
          <w:i/>
        </w:rPr>
        <w:t>d’animaux;</w:t>
      </w:r>
      <w:r>
        <w:rPr>
          <w:rFonts w:ascii="Arial" w:hAnsi="Arial"/>
          <w:i/>
          <w:spacing w:val="68"/>
        </w:rPr>
        <w:t xml:space="preserve"> </w:t>
      </w:r>
      <w:r>
        <w:rPr>
          <w:rFonts w:ascii="Arial" w:hAnsi="Arial"/>
          <w:i/>
        </w:rPr>
        <w:t>malles</w:t>
      </w:r>
      <w:r>
        <w:rPr>
          <w:rFonts w:ascii="Arial" w:hAnsi="Arial"/>
          <w:i/>
          <w:spacing w:val="67"/>
        </w:rPr>
        <w:t xml:space="preserve"> </w:t>
      </w:r>
      <w:r>
        <w:rPr>
          <w:rFonts w:ascii="Arial" w:hAnsi="Arial"/>
          <w:i/>
        </w:rPr>
        <w:t>et</w:t>
      </w:r>
      <w:r>
        <w:rPr>
          <w:rFonts w:ascii="Arial" w:hAnsi="Arial"/>
          <w:i/>
          <w:spacing w:val="68"/>
        </w:rPr>
        <w:t xml:space="preserve"> </w:t>
      </w:r>
      <w:r>
        <w:rPr>
          <w:rFonts w:ascii="Arial" w:hAnsi="Arial"/>
          <w:i/>
        </w:rPr>
        <w:t>valises;</w:t>
      </w:r>
      <w:r>
        <w:rPr>
          <w:rFonts w:ascii="Arial" w:hAnsi="Arial"/>
          <w:i/>
          <w:spacing w:val="68"/>
        </w:rPr>
        <w:t xml:space="preserve"> </w:t>
      </w:r>
      <w:r>
        <w:rPr>
          <w:rFonts w:ascii="Arial" w:hAnsi="Arial"/>
          <w:i/>
        </w:rPr>
        <w:t>parapluies, parasols, cannes et cannes; fouets et sellerie; sacs.</w:t>
      </w:r>
    </w:p>
    <w:p w14:paraId="46AF5A17" w14:textId="77777777" w:rsidR="00310096" w:rsidRDefault="00310096">
      <w:pPr>
        <w:pStyle w:val="Corpsdetexte"/>
        <w:spacing w:before="16"/>
        <w:rPr>
          <w:rFonts w:ascii="Arial"/>
          <w:i/>
        </w:rPr>
      </w:pPr>
    </w:p>
    <w:p w14:paraId="50200DC7" w14:textId="77777777" w:rsidR="00310096" w:rsidRDefault="00000000">
      <w:pPr>
        <w:ind w:left="165"/>
        <w:rPr>
          <w:rFonts w:ascii="Arial" w:hAnsi="Arial"/>
          <w:i/>
        </w:rPr>
      </w:pPr>
      <w:r>
        <w:t>Classe</w:t>
      </w:r>
      <w:r>
        <w:rPr>
          <w:spacing w:val="-10"/>
        </w:rPr>
        <w:t xml:space="preserve"> </w:t>
      </w:r>
      <w:r>
        <w:t>25:</w:t>
      </w:r>
      <w:r>
        <w:rPr>
          <w:spacing w:val="-5"/>
        </w:rPr>
        <w:t xml:space="preserve"> </w:t>
      </w:r>
      <w:r>
        <w:rPr>
          <w:rFonts w:ascii="Arial" w:hAnsi="Arial"/>
          <w:i/>
        </w:rPr>
        <w:t>Vêtements,</w:t>
      </w:r>
      <w:r>
        <w:rPr>
          <w:rFonts w:ascii="Arial" w:hAnsi="Arial"/>
          <w:i/>
          <w:spacing w:val="-6"/>
        </w:rPr>
        <w:t xml:space="preserve"> </w:t>
      </w:r>
      <w:r>
        <w:rPr>
          <w:rFonts w:ascii="Arial" w:hAnsi="Arial"/>
          <w:i/>
        </w:rPr>
        <w:t>chaussures,</w:t>
      </w:r>
      <w:r>
        <w:rPr>
          <w:rFonts w:ascii="Arial" w:hAnsi="Arial"/>
          <w:i/>
          <w:spacing w:val="-6"/>
        </w:rPr>
        <w:t xml:space="preserve"> </w:t>
      </w:r>
      <w:r>
        <w:rPr>
          <w:rFonts w:ascii="Arial" w:hAnsi="Arial"/>
          <w:i/>
        </w:rPr>
        <w:t>chapellerie;</w:t>
      </w:r>
      <w:r>
        <w:rPr>
          <w:rFonts w:ascii="Arial" w:hAnsi="Arial"/>
          <w:i/>
          <w:spacing w:val="-8"/>
        </w:rPr>
        <w:t xml:space="preserve"> </w:t>
      </w:r>
      <w:r>
        <w:rPr>
          <w:rFonts w:ascii="Arial" w:hAnsi="Arial"/>
          <w:i/>
        </w:rPr>
        <w:t>ceintures</w:t>
      </w:r>
      <w:r>
        <w:rPr>
          <w:rFonts w:ascii="Arial" w:hAnsi="Arial"/>
          <w:i/>
          <w:spacing w:val="-7"/>
        </w:rPr>
        <w:t xml:space="preserve"> </w:t>
      </w:r>
      <w:r>
        <w:rPr>
          <w:rFonts w:ascii="Arial" w:hAnsi="Arial"/>
          <w:i/>
        </w:rPr>
        <w:t>à</w:t>
      </w:r>
      <w:r>
        <w:rPr>
          <w:rFonts w:ascii="Arial" w:hAnsi="Arial"/>
          <w:i/>
          <w:spacing w:val="-9"/>
        </w:rPr>
        <w:t xml:space="preserve"> </w:t>
      </w:r>
      <w:r>
        <w:rPr>
          <w:rFonts w:ascii="Arial" w:hAnsi="Arial"/>
          <w:i/>
          <w:spacing w:val="-2"/>
        </w:rPr>
        <w:t>porter.</w:t>
      </w:r>
    </w:p>
    <w:p w14:paraId="78BD7AEF" w14:textId="77777777" w:rsidR="00310096" w:rsidRDefault="00310096">
      <w:pPr>
        <w:pStyle w:val="Corpsdetexte"/>
        <w:rPr>
          <w:rFonts w:ascii="Arial"/>
          <w:i/>
        </w:rPr>
      </w:pPr>
    </w:p>
    <w:p w14:paraId="18221564" w14:textId="77777777" w:rsidR="00310096" w:rsidRDefault="00310096">
      <w:pPr>
        <w:pStyle w:val="Corpsdetexte"/>
        <w:spacing w:before="16"/>
        <w:rPr>
          <w:rFonts w:ascii="Arial"/>
          <w:i/>
        </w:rPr>
      </w:pPr>
    </w:p>
    <w:p w14:paraId="6E9B6CD3" w14:textId="77777777" w:rsidR="00310096" w:rsidRDefault="00000000">
      <w:pPr>
        <w:pStyle w:val="Titre2"/>
        <w:numPr>
          <w:ilvl w:val="0"/>
          <w:numId w:val="3"/>
        </w:numPr>
        <w:tabs>
          <w:tab w:val="left" w:pos="435"/>
        </w:tabs>
        <w:ind w:left="435" w:hanging="270"/>
      </w:pPr>
      <w:r>
        <w:t>Les</w:t>
      </w:r>
      <w:r>
        <w:rPr>
          <w:spacing w:val="-6"/>
        </w:rPr>
        <w:t xml:space="preserve"> </w:t>
      </w:r>
      <w:r>
        <w:rPr>
          <w:spacing w:val="-2"/>
        </w:rPr>
        <w:t>signes</w:t>
      </w:r>
    </w:p>
    <w:p w14:paraId="5BAAD023" w14:textId="77777777" w:rsidR="00310096" w:rsidRDefault="00310096">
      <w:pPr>
        <w:pStyle w:val="Corpsdetexte"/>
        <w:spacing w:before="24"/>
        <w:rPr>
          <w:rFonts w:ascii="Arial"/>
          <w:b/>
          <w:sz w:val="20"/>
        </w:rPr>
      </w:pPr>
    </w:p>
    <w:tbl>
      <w:tblPr>
        <w:tblStyle w:val="TableNormal"/>
        <w:tblW w:w="0" w:type="auto"/>
        <w:tblInd w:w="271" w:type="dxa"/>
        <w:tblLayout w:type="fixed"/>
        <w:tblLook w:val="01E0" w:firstRow="1" w:lastRow="1" w:firstColumn="1" w:lastColumn="1" w:noHBand="0" w:noVBand="0"/>
      </w:tblPr>
      <w:tblGrid>
        <w:gridCol w:w="4447"/>
        <w:gridCol w:w="4537"/>
      </w:tblGrid>
      <w:tr w:rsidR="00310096" w14:paraId="6884018B" w14:textId="77777777">
        <w:trPr>
          <w:trHeight w:val="2126"/>
        </w:trPr>
        <w:tc>
          <w:tcPr>
            <w:tcW w:w="4447" w:type="dxa"/>
            <w:tcBorders>
              <w:bottom w:val="dotted" w:sz="8" w:space="0" w:color="000000"/>
            </w:tcBorders>
          </w:tcPr>
          <w:p w14:paraId="42FFC7B9" w14:textId="77777777" w:rsidR="00310096" w:rsidRDefault="00310096">
            <w:pPr>
              <w:pStyle w:val="TableParagraph"/>
              <w:rPr>
                <w:rFonts w:ascii="Arial"/>
                <w:b/>
                <w:sz w:val="20"/>
              </w:rPr>
            </w:pPr>
          </w:p>
          <w:p w14:paraId="699DEB75" w14:textId="77777777" w:rsidR="00310096" w:rsidRDefault="00310096">
            <w:pPr>
              <w:pStyle w:val="TableParagraph"/>
              <w:spacing w:before="99"/>
              <w:rPr>
                <w:rFonts w:ascii="Arial"/>
                <w:b/>
                <w:sz w:val="20"/>
              </w:rPr>
            </w:pPr>
          </w:p>
          <w:p w14:paraId="6A5ECCE1" w14:textId="77777777" w:rsidR="00310096" w:rsidRDefault="00000000">
            <w:pPr>
              <w:pStyle w:val="TableParagraph"/>
              <w:ind w:left="1690"/>
              <w:rPr>
                <w:rFonts w:ascii="Arial"/>
                <w:sz w:val="20"/>
              </w:rPr>
            </w:pPr>
            <w:r>
              <w:rPr>
                <w:rFonts w:ascii="Arial"/>
                <w:noProof/>
                <w:sz w:val="20"/>
              </w:rPr>
              <w:drawing>
                <wp:inline distT="0" distB="0" distL="0" distR="0" wp14:anchorId="686C49B5" wp14:editId="1D549E4A">
                  <wp:extent cx="895354" cy="644651"/>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 cstate="print"/>
                          <a:stretch>
                            <a:fillRect/>
                          </a:stretch>
                        </pic:blipFill>
                        <pic:spPr>
                          <a:xfrm>
                            <a:off x="0" y="0"/>
                            <a:ext cx="895354" cy="644651"/>
                          </a:xfrm>
                          <a:prstGeom prst="rect">
                            <a:avLst/>
                          </a:prstGeom>
                        </pic:spPr>
                      </pic:pic>
                    </a:graphicData>
                  </a:graphic>
                </wp:inline>
              </w:drawing>
            </w:r>
          </w:p>
        </w:tc>
        <w:tc>
          <w:tcPr>
            <w:tcW w:w="4537" w:type="dxa"/>
            <w:tcBorders>
              <w:bottom w:val="dotted" w:sz="8" w:space="0" w:color="000000"/>
            </w:tcBorders>
          </w:tcPr>
          <w:p w14:paraId="51E6CAB9" w14:textId="77777777" w:rsidR="00310096" w:rsidRDefault="00310096">
            <w:pPr>
              <w:pStyle w:val="TableParagraph"/>
              <w:spacing w:before="159"/>
              <w:rPr>
                <w:rFonts w:ascii="Arial"/>
                <w:b/>
                <w:sz w:val="20"/>
              </w:rPr>
            </w:pPr>
          </w:p>
          <w:p w14:paraId="1DFC0622" w14:textId="77777777" w:rsidR="00310096" w:rsidRDefault="00000000">
            <w:pPr>
              <w:pStyle w:val="TableParagraph"/>
              <w:ind w:left="1160"/>
              <w:rPr>
                <w:rFonts w:ascii="Arial"/>
                <w:sz w:val="20"/>
              </w:rPr>
            </w:pPr>
            <w:r>
              <w:rPr>
                <w:rFonts w:ascii="Arial"/>
                <w:noProof/>
                <w:sz w:val="20"/>
              </w:rPr>
              <w:drawing>
                <wp:inline distT="0" distB="0" distL="0" distR="0" wp14:anchorId="5249482F" wp14:editId="606321F7">
                  <wp:extent cx="1546824" cy="83972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 cstate="print"/>
                          <a:stretch>
                            <a:fillRect/>
                          </a:stretch>
                        </pic:blipFill>
                        <pic:spPr>
                          <a:xfrm>
                            <a:off x="0" y="0"/>
                            <a:ext cx="1546824" cy="839724"/>
                          </a:xfrm>
                          <a:prstGeom prst="rect">
                            <a:avLst/>
                          </a:prstGeom>
                        </pic:spPr>
                      </pic:pic>
                    </a:graphicData>
                  </a:graphic>
                </wp:inline>
              </w:drawing>
            </w:r>
          </w:p>
        </w:tc>
      </w:tr>
      <w:tr w:rsidR="00310096" w14:paraId="4E3ED9A2" w14:textId="77777777">
        <w:trPr>
          <w:trHeight w:val="575"/>
        </w:trPr>
        <w:tc>
          <w:tcPr>
            <w:tcW w:w="4447" w:type="dxa"/>
            <w:tcBorders>
              <w:top w:val="dotted" w:sz="8" w:space="0" w:color="000000"/>
            </w:tcBorders>
          </w:tcPr>
          <w:p w14:paraId="2B3C1E5E" w14:textId="77777777" w:rsidR="00310096" w:rsidRDefault="00310096">
            <w:pPr>
              <w:pStyle w:val="TableParagraph"/>
              <w:spacing w:before="15"/>
              <w:rPr>
                <w:rFonts w:ascii="Arial"/>
                <w:b/>
              </w:rPr>
            </w:pPr>
          </w:p>
          <w:p w14:paraId="3C65D311" w14:textId="77777777" w:rsidR="00310096" w:rsidRDefault="00000000">
            <w:pPr>
              <w:pStyle w:val="TableParagraph"/>
              <w:ind w:left="1487"/>
            </w:pPr>
            <w:r>
              <w:t>Marque</w:t>
            </w:r>
            <w:r>
              <w:rPr>
                <w:spacing w:val="-5"/>
              </w:rPr>
              <w:t xml:space="preserve"> </w:t>
            </w:r>
            <w:r>
              <w:rPr>
                <w:spacing w:val="-2"/>
              </w:rPr>
              <w:t>antérieure</w:t>
            </w:r>
          </w:p>
        </w:tc>
        <w:tc>
          <w:tcPr>
            <w:tcW w:w="4537" w:type="dxa"/>
            <w:tcBorders>
              <w:top w:val="dotted" w:sz="8" w:space="0" w:color="000000"/>
            </w:tcBorders>
          </w:tcPr>
          <w:p w14:paraId="295F01A1" w14:textId="77777777" w:rsidR="00310096" w:rsidRDefault="00310096">
            <w:pPr>
              <w:pStyle w:val="TableParagraph"/>
              <w:spacing w:before="15"/>
              <w:rPr>
                <w:rFonts w:ascii="Arial"/>
                <w:b/>
              </w:rPr>
            </w:pPr>
          </w:p>
          <w:p w14:paraId="3CCE37C8" w14:textId="77777777" w:rsidR="00310096" w:rsidRDefault="00000000">
            <w:pPr>
              <w:pStyle w:val="TableParagraph"/>
              <w:ind w:left="1697"/>
            </w:pPr>
            <w:r>
              <w:rPr>
                <w:noProof/>
              </w:rPr>
              <mc:AlternateContent>
                <mc:Choice Requires="wps">
                  <w:drawing>
                    <wp:anchor distT="0" distB="0" distL="0" distR="0" simplePos="0" relativeHeight="487256576" behindDoc="1" locked="0" layoutInCell="1" allowOverlap="1" wp14:anchorId="561AFA57" wp14:editId="6402ADE0">
                      <wp:simplePos x="0" y="0"/>
                      <wp:positionH relativeFrom="column">
                        <wp:posOffset>100862</wp:posOffset>
                      </wp:positionH>
                      <wp:positionV relativeFrom="paragraph">
                        <wp:posOffset>-1533551</wp:posOffset>
                      </wp:positionV>
                      <wp:extent cx="12700" cy="172910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729105"/>
                                <a:chOff x="0" y="0"/>
                                <a:chExt cx="12700" cy="1729105"/>
                              </a:xfrm>
                            </wpg:grpSpPr>
                            <wps:wsp>
                              <wps:cNvPr id="77" name="Graphic 77"/>
                              <wps:cNvSpPr/>
                              <wps:spPr>
                                <a:xfrm>
                                  <a:off x="6095" y="0"/>
                                  <a:ext cx="1270" cy="1729105"/>
                                </a:xfrm>
                                <a:custGeom>
                                  <a:avLst/>
                                  <a:gdLst/>
                                  <a:ahLst/>
                                  <a:cxnLst/>
                                  <a:rect l="l" t="t" r="r" b="b"/>
                                  <a:pathLst>
                                    <a:path h="1729105">
                                      <a:moveTo>
                                        <a:pt x="0" y="0"/>
                                      </a:moveTo>
                                      <a:lnTo>
                                        <a:pt x="0" y="1336928"/>
                                      </a:lnTo>
                                    </a:path>
                                    <a:path h="1729105">
                                      <a:moveTo>
                                        <a:pt x="0" y="1362836"/>
                                      </a:moveTo>
                                      <a:lnTo>
                                        <a:pt x="0" y="1728596"/>
                                      </a:lnTo>
                                    </a:path>
                                  </a:pathLst>
                                </a:custGeom>
                                <a:ln w="12192">
                                  <a:solidFill>
                                    <a:srgbClr val="000000"/>
                                  </a:solidFill>
                                  <a:prstDash val="sysDot"/>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941955pt;margin-top:-120.752121pt;width:1pt;height:136.15pt;mso-position-horizontal-relative:column;mso-position-vertical-relative:paragraph;z-index:-16059904" id="docshapegroup57" coordorigin="159,-2415" coordsize="20,2723">
                      <v:shape style="position:absolute;left:168;top:-2416;width:2;height:2723" id="docshape58" coordorigin="168,-2415" coordsize="0,2723" path="m168,-2415l168,-310m168,-269l168,307e" filled="false" stroked="true" strokeweight=".96pt" strokecolor="#000000">
                        <v:path arrowok="t"/>
                        <v:stroke dashstyle="shortdot"/>
                      </v:shape>
                      <w10:wrap type="none"/>
                    </v:group>
                  </w:pict>
                </mc:Fallback>
              </mc:AlternateContent>
            </w:r>
            <w:r>
              <w:t>Signe</w:t>
            </w:r>
            <w:r>
              <w:rPr>
                <w:spacing w:val="-5"/>
              </w:rPr>
              <w:t xml:space="preserve"> </w:t>
            </w:r>
            <w:r>
              <w:rPr>
                <w:spacing w:val="-2"/>
              </w:rPr>
              <w:t>contesté</w:t>
            </w:r>
          </w:p>
        </w:tc>
      </w:tr>
    </w:tbl>
    <w:p w14:paraId="5C2FFDDB" w14:textId="77777777" w:rsidR="00310096" w:rsidRDefault="00310096">
      <w:pPr>
        <w:pStyle w:val="Corpsdetexte"/>
        <w:spacing w:before="2"/>
        <w:rPr>
          <w:rFonts w:ascii="Arial"/>
          <w:b/>
        </w:rPr>
      </w:pPr>
    </w:p>
    <w:p w14:paraId="382AAAE0" w14:textId="77777777" w:rsidR="00310096" w:rsidRDefault="00000000">
      <w:pPr>
        <w:pStyle w:val="Corpsdetexte"/>
        <w:ind w:left="165"/>
        <w:jc w:val="both"/>
      </w:pPr>
      <w:r>
        <w:t>Le</w:t>
      </w:r>
      <w:r>
        <w:rPr>
          <w:spacing w:val="-6"/>
        </w:rPr>
        <w:t xml:space="preserve"> </w:t>
      </w:r>
      <w:r>
        <w:t>territoire</w:t>
      </w:r>
      <w:r>
        <w:rPr>
          <w:spacing w:val="-7"/>
        </w:rPr>
        <w:t xml:space="preserve"> </w:t>
      </w:r>
      <w:r>
        <w:t>pertinent</w:t>
      </w:r>
      <w:r>
        <w:rPr>
          <w:spacing w:val="-7"/>
        </w:rPr>
        <w:t xml:space="preserve"> </w:t>
      </w:r>
      <w:r>
        <w:t>est</w:t>
      </w:r>
      <w:r>
        <w:rPr>
          <w:spacing w:val="-8"/>
        </w:rPr>
        <w:t xml:space="preserve"> </w:t>
      </w:r>
      <w:r>
        <w:t>l’Union</w:t>
      </w:r>
      <w:r>
        <w:rPr>
          <w:spacing w:val="-5"/>
        </w:rPr>
        <w:t xml:space="preserve"> </w:t>
      </w:r>
      <w:r>
        <w:rPr>
          <w:spacing w:val="-2"/>
        </w:rPr>
        <w:t>européenne.</w:t>
      </w:r>
    </w:p>
    <w:p w14:paraId="57EA37ED" w14:textId="77777777" w:rsidR="00310096" w:rsidRDefault="00310096">
      <w:pPr>
        <w:pStyle w:val="Corpsdetexte"/>
        <w:spacing w:before="37"/>
      </w:pPr>
    </w:p>
    <w:p w14:paraId="4F707628" w14:textId="77777777" w:rsidR="00310096" w:rsidRDefault="00000000">
      <w:pPr>
        <w:pStyle w:val="Corpsdetexte"/>
        <w:spacing w:line="256" w:lineRule="auto"/>
        <w:ind w:left="165" w:right="157"/>
        <w:jc w:val="both"/>
      </w:pPr>
      <w:r>
        <w:t>L’appréciation</w:t>
      </w:r>
      <w:r>
        <w:rPr>
          <w:spacing w:val="-4"/>
        </w:rPr>
        <w:t xml:space="preserve"> </w:t>
      </w:r>
      <w:r>
        <w:t>globale</w:t>
      </w:r>
      <w:r>
        <w:rPr>
          <w:spacing w:val="-2"/>
        </w:rPr>
        <w:t xml:space="preserve"> </w:t>
      </w:r>
      <w:r>
        <w:t>doit, en</w:t>
      </w:r>
      <w:r>
        <w:rPr>
          <w:spacing w:val="-4"/>
        </w:rPr>
        <w:t xml:space="preserve"> </w:t>
      </w:r>
      <w:r>
        <w:t>ce</w:t>
      </w:r>
      <w:r>
        <w:rPr>
          <w:spacing w:val="-4"/>
        </w:rPr>
        <w:t xml:space="preserve"> </w:t>
      </w:r>
      <w:r>
        <w:t>qui</w:t>
      </w:r>
      <w:r>
        <w:rPr>
          <w:spacing w:val="-5"/>
        </w:rPr>
        <w:t xml:space="preserve"> </w:t>
      </w:r>
      <w:r>
        <w:t>concerne</w:t>
      </w:r>
      <w:r>
        <w:rPr>
          <w:spacing w:val="-4"/>
        </w:rPr>
        <w:t xml:space="preserve"> </w:t>
      </w:r>
      <w:r>
        <w:t>la</w:t>
      </w:r>
      <w:r>
        <w:rPr>
          <w:spacing w:val="-4"/>
        </w:rPr>
        <w:t xml:space="preserve"> </w:t>
      </w:r>
      <w:r>
        <w:t>similitude</w:t>
      </w:r>
      <w:r>
        <w:rPr>
          <w:spacing w:val="-2"/>
        </w:rPr>
        <w:t xml:space="preserve"> </w:t>
      </w:r>
      <w:r>
        <w:t>visuelle,</w:t>
      </w:r>
      <w:r>
        <w:rPr>
          <w:spacing w:val="-1"/>
        </w:rPr>
        <w:t xml:space="preserve"> </w:t>
      </w:r>
      <w:r>
        <w:t>auditive</w:t>
      </w:r>
      <w:r>
        <w:rPr>
          <w:spacing w:val="-2"/>
        </w:rPr>
        <w:t xml:space="preserve"> </w:t>
      </w:r>
      <w:r>
        <w:t>ou</w:t>
      </w:r>
      <w:r>
        <w:rPr>
          <w:spacing w:val="-2"/>
        </w:rPr>
        <w:t xml:space="preserve"> </w:t>
      </w:r>
      <w:r>
        <w:t>conceptuelle des marques en cause, être fondée sur l’impression d’ensemble produite par les marques, en tenant compte, notamment, des éléments distinctifs et dominants de celles-ci (11/11/1997, C-251/95, Sabèl, EU:C:1997:528, § 23).</w:t>
      </w:r>
    </w:p>
    <w:p w14:paraId="2871CE6D" w14:textId="77777777" w:rsidR="00310096" w:rsidRDefault="00000000">
      <w:pPr>
        <w:pStyle w:val="Corpsdetexte"/>
        <w:spacing w:before="252"/>
        <w:ind w:left="165" w:right="161"/>
        <w:jc w:val="both"/>
      </w:pPr>
      <w:r>
        <w:t>Les deux signes sont des marques figuratives consistant en, ou comprenant, des monogrammes</w:t>
      </w:r>
      <w:r>
        <w:rPr>
          <w:spacing w:val="-2"/>
        </w:rPr>
        <w:t xml:space="preserve"> </w:t>
      </w:r>
      <w:r>
        <w:t>ou</w:t>
      </w:r>
      <w:r>
        <w:rPr>
          <w:spacing w:val="-2"/>
        </w:rPr>
        <w:t xml:space="preserve"> </w:t>
      </w:r>
      <w:r>
        <w:t>deux</w:t>
      </w:r>
      <w:r>
        <w:rPr>
          <w:spacing w:val="-4"/>
        </w:rPr>
        <w:t xml:space="preserve"> </w:t>
      </w:r>
      <w:r>
        <w:t>éléments</w:t>
      </w:r>
      <w:r>
        <w:rPr>
          <w:spacing w:val="-2"/>
        </w:rPr>
        <w:t xml:space="preserve"> </w:t>
      </w:r>
      <w:r>
        <w:t>circulaires</w:t>
      </w:r>
      <w:r>
        <w:rPr>
          <w:spacing w:val="-4"/>
        </w:rPr>
        <w:t xml:space="preserve"> </w:t>
      </w:r>
      <w:r>
        <w:t>reliés entre</w:t>
      </w:r>
      <w:r>
        <w:rPr>
          <w:spacing w:val="-2"/>
        </w:rPr>
        <w:t xml:space="preserve"> </w:t>
      </w:r>
      <w:r>
        <w:t>eux. Dans</w:t>
      </w:r>
      <w:r>
        <w:rPr>
          <w:spacing w:val="-2"/>
        </w:rPr>
        <w:t xml:space="preserve"> </w:t>
      </w:r>
      <w:r>
        <w:t>la</w:t>
      </w:r>
      <w:r>
        <w:rPr>
          <w:spacing w:val="-2"/>
        </w:rPr>
        <w:t xml:space="preserve"> </w:t>
      </w:r>
      <w:r>
        <w:t>marque</w:t>
      </w:r>
      <w:r>
        <w:rPr>
          <w:spacing w:val="-2"/>
        </w:rPr>
        <w:t xml:space="preserve"> </w:t>
      </w:r>
      <w:r>
        <w:t>antérieure, les deux éléments ressemblant aux lettres «G» se reflètent (le même élément étant imbriqué avec sa version inversée). Toutefois, dans le signe contesté, le premier élément ressemble</w:t>
      </w:r>
      <w:r>
        <w:rPr>
          <w:spacing w:val="40"/>
        </w:rPr>
        <w:t xml:space="preserve"> </w:t>
      </w:r>
      <w:r>
        <w:t>à un «O», tandis que le second élément circulaire est interrompu et porte une barre horizontale dans son milieu, produisant ainsi un élément en forme de «S». Les deux monogrammes utilisent la même police de caractères gras et la couleur noire profonde similaire. En outre, le signe contesté contient la partie verbale «Olivia Sanchez», qui sera perçue comme un prénom féminin et, en tant que tel, comme un élément normalement distinctif au sein du signe.</w:t>
      </w:r>
    </w:p>
    <w:p w14:paraId="3108E2AC" w14:textId="77777777" w:rsidR="00310096" w:rsidRDefault="00310096">
      <w:pPr>
        <w:pStyle w:val="Corpsdetexte"/>
        <w:spacing w:before="1"/>
      </w:pPr>
    </w:p>
    <w:p w14:paraId="3CECA75E" w14:textId="77777777" w:rsidR="00310096" w:rsidRDefault="00000000">
      <w:pPr>
        <w:pStyle w:val="Corpsdetexte"/>
        <w:ind w:left="165" w:right="159"/>
        <w:jc w:val="both"/>
      </w:pPr>
      <w:r>
        <w:t>Compte tenu des explications susmentionnées concernant la ressemblance entre les éléments</w:t>
      </w:r>
      <w:r>
        <w:rPr>
          <w:spacing w:val="-3"/>
        </w:rPr>
        <w:t xml:space="preserve"> </w:t>
      </w:r>
      <w:r>
        <w:t>figuratifs et</w:t>
      </w:r>
      <w:r>
        <w:rPr>
          <w:spacing w:val="-2"/>
        </w:rPr>
        <w:t xml:space="preserve"> </w:t>
      </w:r>
      <w:r>
        <w:t>les</w:t>
      </w:r>
      <w:r>
        <w:rPr>
          <w:spacing w:val="-1"/>
        </w:rPr>
        <w:t xml:space="preserve"> </w:t>
      </w:r>
      <w:r>
        <w:t>lettres</w:t>
      </w:r>
      <w:r>
        <w:rPr>
          <w:spacing w:val="-3"/>
        </w:rPr>
        <w:t xml:space="preserve"> </w:t>
      </w:r>
      <w:r>
        <w:t>de</w:t>
      </w:r>
      <w:r>
        <w:rPr>
          <w:spacing w:val="-1"/>
        </w:rPr>
        <w:t xml:space="preserve"> </w:t>
      </w:r>
      <w:r>
        <w:t>l’alphabet latin,</w:t>
      </w:r>
      <w:r>
        <w:rPr>
          <w:spacing w:val="-2"/>
        </w:rPr>
        <w:t xml:space="preserve"> </w:t>
      </w:r>
      <w:r>
        <w:t>comme</w:t>
      </w:r>
      <w:r>
        <w:rPr>
          <w:spacing w:val="-1"/>
        </w:rPr>
        <w:t xml:space="preserve"> </w:t>
      </w:r>
      <w:r>
        <w:t>cela</w:t>
      </w:r>
      <w:r>
        <w:rPr>
          <w:spacing w:val="-1"/>
        </w:rPr>
        <w:t xml:space="preserve"> </w:t>
      </w:r>
      <w:r>
        <w:t>a déjà</w:t>
      </w:r>
      <w:r>
        <w:rPr>
          <w:spacing w:val="-1"/>
        </w:rPr>
        <w:t xml:space="preserve"> </w:t>
      </w:r>
      <w:r>
        <w:t>été</w:t>
      </w:r>
      <w:r>
        <w:rPr>
          <w:spacing w:val="-1"/>
        </w:rPr>
        <w:t xml:space="preserve"> </w:t>
      </w:r>
      <w:r>
        <w:t>indiqué, une</w:t>
      </w:r>
      <w:r>
        <w:rPr>
          <w:spacing w:val="-3"/>
        </w:rPr>
        <w:t xml:space="preserve"> </w:t>
      </w:r>
      <w:r>
        <w:t>partie importante des consommateurs peut percevoir la marque antérieure comme la lettre «G» imbriquée avec sa version inversée et le monogramme du signe contesté comme les lettres</w:t>
      </w:r>
    </w:p>
    <w:p w14:paraId="5DDD948B" w14:textId="77777777" w:rsidR="00310096" w:rsidRDefault="00000000">
      <w:pPr>
        <w:pStyle w:val="Corpsdetexte"/>
        <w:ind w:left="165" w:right="158"/>
        <w:jc w:val="both"/>
      </w:pPr>
      <w:r>
        <w:t xml:space="preserve">«OS», d’autant plus qu’ils peuvent également être perçus comme les initiales du nom représenté ci-dessous. Qu’ils soient perçus comme des lettres ou comme des images fantaisistes, les deux représentations sont pleinement distinctives étant donné qu’elles ne présentent aucun lien évident avec les produits en cause. La division d’opposition partira du point de vue de la perception des signes comme des monogrammes (composés de deux </w:t>
      </w:r>
      <w:r>
        <w:rPr>
          <w:spacing w:val="-2"/>
        </w:rPr>
        <w:t>lettres).</w:t>
      </w:r>
    </w:p>
    <w:p w14:paraId="189878B5" w14:textId="77777777" w:rsidR="00310096" w:rsidRDefault="00000000">
      <w:pPr>
        <w:pStyle w:val="Corpsdetexte"/>
        <w:spacing w:before="252"/>
        <w:ind w:left="165" w:right="163"/>
        <w:jc w:val="both"/>
      </w:pPr>
      <w:r>
        <w:rPr>
          <w:rFonts w:ascii="Arial" w:hAnsi="Arial"/>
          <w:b/>
        </w:rPr>
        <w:t>Sur le plan visuel</w:t>
      </w:r>
      <w:r>
        <w:t>, les signes coïncident par l’apparence globale de leurs monogrammes, à savoir</w:t>
      </w:r>
      <w:r>
        <w:rPr>
          <w:spacing w:val="40"/>
        </w:rPr>
        <w:t xml:space="preserve"> </w:t>
      </w:r>
      <w:r>
        <w:t>les</w:t>
      </w:r>
      <w:r>
        <w:rPr>
          <w:spacing w:val="40"/>
        </w:rPr>
        <w:t xml:space="preserve"> </w:t>
      </w:r>
      <w:r>
        <w:t>éléments</w:t>
      </w:r>
      <w:r>
        <w:rPr>
          <w:spacing w:val="40"/>
        </w:rPr>
        <w:t xml:space="preserve"> </w:t>
      </w:r>
      <w:r>
        <w:t>circulaires</w:t>
      </w:r>
      <w:r>
        <w:rPr>
          <w:spacing w:val="40"/>
        </w:rPr>
        <w:t xml:space="preserve"> </w:t>
      </w:r>
      <w:r>
        <w:t>entrelacés</w:t>
      </w:r>
      <w:r>
        <w:rPr>
          <w:spacing w:val="40"/>
        </w:rPr>
        <w:t xml:space="preserve"> </w:t>
      </w:r>
      <w:r>
        <w:t>dans</w:t>
      </w:r>
      <w:r>
        <w:rPr>
          <w:spacing w:val="40"/>
        </w:rPr>
        <w:t xml:space="preserve"> </w:t>
      </w:r>
      <w:r>
        <w:t>une</w:t>
      </w:r>
      <w:r>
        <w:rPr>
          <w:spacing w:val="40"/>
        </w:rPr>
        <w:t xml:space="preserve"> </w:t>
      </w:r>
      <w:r>
        <w:t>police</w:t>
      </w:r>
      <w:r>
        <w:rPr>
          <w:spacing w:val="40"/>
        </w:rPr>
        <w:t xml:space="preserve"> </w:t>
      </w:r>
      <w:r>
        <w:t>de</w:t>
      </w:r>
      <w:r>
        <w:rPr>
          <w:spacing w:val="40"/>
        </w:rPr>
        <w:t xml:space="preserve"> </w:t>
      </w:r>
      <w:r>
        <w:t>caractères</w:t>
      </w:r>
      <w:r>
        <w:rPr>
          <w:spacing w:val="40"/>
        </w:rPr>
        <w:t xml:space="preserve"> </w:t>
      </w:r>
      <w:r>
        <w:t>et</w:t>
      </w:r>
      <w:r>
        <w:rPr>
          <w:spacing w:val="40"/>
        </w:rPr>
        <w:t xml:space="preserve"> </w:t>
      </w:r>
      <w:r>
        <w:t>une</w:t>
      </w:r>
      <w:r>
        <w:rPr>
          <w:spacing w:val="40"/>
        </w:rPr>
        <w:t xml:space="preserve"> </w:t>
      </w:r>
      <w:r>
        <w:t>couleur</w:t>
      </w:r>
    </w:p>
    <w:p w14:paraId="2C5B73EC" w14:textId="77777777" w:rsidR="00310096" w:rsidRDefault="00310096">
      <w:pPr>
        <w:pStyle w:val="Corpsdetexte"/>
        <w:jc w:val="both"/>
        <w:sectPr w:rsidR="00310096">
          <w:pgSz w:w="11910" w:h="16840"/>
          <w:pgMar w:top="1000" w:right="1275" w:bottom="280" w:left="1275" w:header="727" w:footer="0" w:gutter="0"/>
          <w:cols w:space="720"/>
        </w:sectPr>
      </w:pPr>
    </w:p>
    <w:p w14:paraId="4B7AF91A" w14:textId="77777777" w:rsidR="00310096" w:rsidRDefault="00000000">
      <w:pPr>
        <w:pStyle w:val="Corpsdetexte"/>
        <w:spacing w:before="181"/>
      </w:pPr>
      <w:r>
        <w:rPr>
          <w:noProof/>
        </w:rPr>
        <w:lastRenderedPageBreak/>
        <mc:AlternateContent>
          <mc:Choice Requires="wps">
            <w:drawing>
              <wp:anchor distT="0" distB="0" distL="0" distR="0" simplePos="0" relativeHeight="15743488" behindDoc="0" locked="0" layoutInCell="1" allowOverlap="1" wp14:anchorId="55D55526" wp14:editId="7430666C">
                <wp:simplePos x="0" y="0"/>
                <wp:positionH relativeFrom="page">
                  <wp:posOffset>270575</wp:posOffset>
                </wp:positionH>
                <wp:positionV relativeFrom="page">
                  <wp:posOffset>1114363</wp:posOffset>
                </wp:positionV>
                <wp:extent cx="146050" cy="92100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D0FB959"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3488" type="#_x0000_t202" id="docshape59"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47B34884" w14:textId="77777777" w:rsidR="00310096" w:rsidRDefault="00000000">
      <w:pPr>
        <w:pStyle w:val="Corpsdetexte"/>
        <w:ind w:left="165" w:right="158"/>
        <w:jc w:val="both"/>
      </w:pPr>
      <w:r>
        <w:t>identiques ou très similaires. En outre, le premier élément circulaire du signe contesté est presque identique à celui de la marque antérieure, ne différant que par la petite barre horizontale ouverte dans la marque antérieure (ce qui se traduit par la lettre «G» et non par la lettre «O» fermée). Le fait que l’une des lettres soit «G» et l’autre lettre «O» n’est pas particulièrement frappant sur le plan visuel étant donné qu’elles sont toutes deux de forme ronde. Même si les seconds éléments des signes présentent certaines différences supplémentaires (par exemple, la barre centrale du signe contesté), lorsqu’ils sont perçus dans leur ensemble, les monogrammes sont très similaires sur le plan visuel étant donné que, dans l’ensemble, ils ont une structure, des formes et une entrelacement très similaires. Il convient également de tenir compte de l’élément verbal «Olivia Sanchez», qui est distinctif et n’a pas d’équivalent dans la marque antérieure. En outre, cet élément peut être accordé davantage d’attention étant donné</w:t>
      </w:r>
      <w:r>
        <w:rPr>
          <w:spacing w:val="-4"/>
        </w:rPr>
        <w:t xml:space="preserve"> </w:t>
      </w:r>
      <w:r>
        <w:t>que les</w:t>
      </w:r>
      <w:r>
        <w:rPr>
          <w:spacing w:val="-2"/>
        </w:rPr>
        <w:t xml:space="preserve"> </w:t>
      </w:r>
      <w:r>
        <w:t>consommateurs</w:t>
      </w:r>
      <w:r>
        <w:rPr>
          <w:spacing w:val="-2"/>
        </w:rPr>
        <w:t xml:space="preserve"> </w:t>
      </w:r>
      <w:r>
        <w:t>se</w:t>
      </w:r>
      <w:r>
        <w:rPr>
          <w:spacing w:val="-2"/>
        </w:rPr>
        <w:t xml:space="preserve"> </w:t>
      </w:r>
      <w:r>
        <w:t>concentrent généralement</w:t>
      </w:r>
      <w:r>
        <w:rPr>
          <w:spacing w:val="-1"/>
        </w:rPr>
        <w:t xml:space="preserve"> </w:t>
      </w:r>
      <w:r>
        <w:t>sur les parties verbales des signes plutôt que sur les éléments figuratifs. Néanmoins, dans l’ensemble, les signes présentent une certaine similitude visuelle, même si elle est faible.</w:t>
      </w:r>
    </w:p>
    <w:p w14:paraId="43F1C346" w14:textId="77777777" w:rsidR="00310096" w:rsidRDefault="00310096">
      <w:pPr>
        <w:pStyle w:val="Corpsdetexte"/>
        <w:spacing w:before="1"/>
      </w:pPr>
    </w:p>
    <w:p w14:paraId="2CDD2DAC" w14:textId="77777777" w:rsidR="00310096" w:rsidRDefault="00000000">
      <w:pPr>
        <w:pStyle w:val="Corpsdetexte"/>
        <w:ind w:left="165" w:right="161"/>
        <w:jc w:val="both"/>
      </w:pPr>
      <w:r>
        <w:rPr>
          <w:rFonts w:ascii="Arial" w:hAnsi="Arial"/>
          <w:b/>
        </w:rPr>
        <w:t>Sur le plan phonétique</w:t>
      </w:r>
      <w:r>
        <w:t xml:space="preserve">, dans la mesure où la marque antérieure peut être dirigée par ses deux lettres et où le signe contesté sera dirigé par son élément verbal. Par conséquent, les signes ne coïncident par aucun son sur le plan phonétique, ils seront différents sur le plan </w:t>
      </w:r>
      <w:r>
        <w:rPr>
          <w:spacing w:val="-2"/>
        </w:rPr>
        <w:t>phonétique.</w:t>
      </w:r>
    </w:p>
    <w:p w14:paraId="3C2DDFC6" w14:textId="77777777" w:rsidR="00310096" w:rsidRDefault="00310096">
      <w:pPr>
        <w:pStyle w:val="Corpsdetexte"/>
      </w:pPr>
    </w:p>
    <w:p w14:paraId="46EE82ED" w14:textId="77777777" w:rsidR="00310096" w:rsidRDefault="00000000">
      <w:pPr>
        <w:pStyle w:val="Corpsdetexte"/>
        <w:ind w:left="165" w:right="164"/>
        <w:jc w:val="both"/>
      </w:pPr>
      <w:r>
        <w:t>Toutefois, la division d’opposition est d’avis que la marque antérieure ne sera pas du tout prise en compte sur le plan phonétique étant donné qu’elle a la nature d’un monogramme; par conséquent, étant donné que l’un des signes ne sera pas examiné oralement, il n’est</w:t>
      </w:r>
      <w:r>
        <w:rPr>
          <w:spacing w:val="40"/>
        </w:rPr>
        <w:t xml:space="preserve"> </w:t>
      </w:r>
      <w:r>
        <w:t>pas possible de les comparer.</w:t>
      </w:r>
    </w:p>
    <w:p w14:paraId="47218953" w14:textId="77777777" w:rsidR="00310096" w:rsidRDefault="00310096">
      <w:pPr>
        <w:pStyle w:val="Corpsdetexte"/>
      </w:pPr>
    </w:p>
    <w:p w14:paraId="6C9E1D13" w14:textId="77777777" w:rsidR="00310096" w:rsidRDefault="00000000">
      <w:pPr>
        <w:pStyle w:val="Corpsdetexte"/>
        <w:ind w:left="165" w:right="161"/>
        <w:jc w:val="both"/>
      </w:pPr>
      <w:r>
        <w:rPr>
          <w:rFonts w:ascii="Arial" w:hAnsi="Arial"/>
          <w:b/>
        </w:rPr>
        <w:t>Sur le plan conceptuel</w:t>
      </w:r>
      <w:r>
        <w:t>, compte tenu du fait que le signe contesté sera associé à une signification produite par</w:t>
      </w:r>
      <w:r>
        <w:rPr>
          <w:spacing w:val="-1"/>
        </w:rPr>
        <w:t xml:space="preserve"> </w:t>
      </w:r>
      <w:r>
        <w:t>le nom</w:t>
      </w:r>
      <w:r>
        <w:rPr>
          <w:spacing w:val="-1"/>
        </w:rPr>
        <w:t xml:space="preserve"> </w:t>
      </w:r>
      <w:r>
        <w:t>qui</w:t>
      </w:r>
      <w:r>
        <w:rPr>
          <w:spacing w:val="-1"/>
        </w:rPr>
        <w:t xml:space="preserve"> </w:t>
      </w:r>
      <w:r>
        <w:t>y</w:t>
      </w:r>
      <w:r>
        <w:rPr>
          <w:spacing w:val="-2"/>
        </w:rPr>
        <w:t xml:space="preserve"> </w:t>
      </w:r>
      <w:r>
        <w:t>est représenté, les signes</w:t>
      </w:r>
      <w:r>
        <w:rPr>
          <w:spacing w:val="-1"/>
        </w:rPr>
        <w:t xml:space="preserve"> </w:t>
      </w:r>
      <w:r>
        <w:t>ne sont pas similaires sur le plan conceptuel.</w:t>
      </w:r>
    </w:p>
    <w:p w14:paraId="08CE5FA3" w14:textId="77777777" w:rsidR="00310096" w:rsidRDefault="00310096">
      <w:pPr>
        <w:pStyle w:val="Corpsdetexte"/>
        <w:spacing w:before="1"/>
      </w:pPr>
    </w:p>
    <w:p w14:paraId="70379BE5" w14:textId="77777777" w:rsidR="00310096" w:rsidRDefault="00000000">
      <w:pPr>
        <w:pStyle w:val="Corpsdetexte"/>
        <w:ind w:left="165" w:right="162"/>
        <w:jc w:val="both"/>
      </w:pPr>
      <w:r>
        <w:t>Compte tenu du fait que les signes ont été jugés similaires au regard d’un aspect de la comparaison</w:t>
      </w:r>
      <w:r>
        <w:rPr>
          <w:spacing w:val="-3"/>
        </w:rPr>
        <w:t xml:space="preserve"> </w:t>
      </w:r>
      <w:r>
        <w:t>au</w:t>
      </w:r>
      <w:r>
        <w:rPr>
          <w:spacing w:val="-5"/>
        </w:rPr>
        <w:t xml:space="preserve"> </w:t>
      </w:r>
      <w:r>
        <w:t>moins,</w:t>
      </w:r>
      <w:r>
        <w:rPr>
          <w:spacing w:val="-4"/>
        </w:rPr>
        <w:t xml:space="preserve"> </w:t>
      </w:r>
      <w:r>
        <w:t>à savoir</w:t>
      </w:r>
      <w:r>
        <w:rPr>
          <w:spacing w:val="-4"/>
        </w:rPr>
        <w:t xml:space="preserve"> </w:t>
      </w:r>
      <w:r>
        <w:t>qu’ils partagent</w:t>
      </w:r>
      <w:r>
        <w:rPr>
          <w:spacing w:val="-4"/>
        </w:rPr>
        <w:t xml:space="preserve"> </w:t>
      </w:r>
      <w:r>
        <w:t>une certaine</w:t>
      </w:r>
      <w:r>
        <w:rPr>
          <w:spacing w:val="-3"/>
        </w:rPr>
        <w:t xml:space="preserve"> </w:t>
      </w:r>
      <w:r>
        <w:t>similitude</w:t>
      </w:r>
      <w:r>
        <w:rPr>
          <w:spacing w:val="-3"/>
        </w:rPr>
        <w:t xml:space="preserve"> </w:t>
      </w:r>
      <w:r>
        <w:t>visuelle, l’examen de l’existence d’un risque de préjudice se poursuivra.</w:t>
      </w:r>
    </w:p>
    <w:p w14:paraId="20649C6D" w14:textId="77777777" w:rsidR="00310096" w:rsidRDefault="00310096">
      <w:pPr>
        <w:pStyle w:val="Corpsdetexte"/>
      </w:pPr>
    </w:p>
    <w:p w14:paraId="4ED1BB5E" w14:textId="77777777" w:rsidR="00310096" w:rsidRDefault="00310096">
      <w:pPr>
        <w:pStyle w:val="Corpsdetexte"/>
      </w:pPr>
    </w:p>
    <w:p w14:paraId="5F0DE0B6" w14:textId="77777777" w:rsidR="00310096" w:rsidRDefault="00000000">
      <w:pPr>
        <w:pStyle w:val="Titre2"/>
        <w:numPr>
          <w:ilvl w:val="0"/>
          <w:numId w:val="3"/>
        </w:numPr>
        <w:tabs>
          <w:tab w:val="left" w:pos="423"/>
        </w:tabs>
        <w:ind w:left="423" w:hanging="258"/>
      </w:pPr>
      <w:r>
        <w:t>Le</w:t>
      </w:r>
      <w:r>
        <w:rPr>
          <w:spacing w:val="-6"/>
        </w:rPr>
        <w:t xml:space="preserve"> </w:t>
      </w:r>
      <w:r>
        <w:t>«lien»</w:t>
      </w:r>
      <w:r>
        <w:rPr>
          <w:spacing w:val="-2"/>
        </w:rPr>
        <w:t xml:space="preserve"> </w:t>
      </w:r>
      <w:r>
        <w:t>entre</w:t>
      </w:r>
      <w:r>
        <w:rPr>
          <w:spacing w:val="-4"/>
        </w:rPr>
        <w:t xml:space="preserve"> </w:t>
      </w:r>
      <w:r>
        <w:t>les</w:t>
      </w:r>
      <w:r>
        <w:rPr>
          <w:spacing w:val="-4"/>
        </w:rPr>
        <w:t xml:space="preserve"> </w:t>
      </w:r>
      <w:r>
        <w:rPr>
          <w:spacing w:val="-2"/>
        </w:rPr>
        <w:t>signes</w:t>
      </w:r>
    </w:p>
    <w:p w14:paraId="32727E9C" w14:textId="77777777" w:rsidR="00310096" w:rsidRDefault="00310096">
      <w:pPr>
        <w:pStyle w:val="Corpsdetexte"/>
        <w:rPr>
          <w:rFonts w:ascii="Arial"/>
          <w:b/>
        </w:rPr>
      </w:pPr>
    </w:p>
    <w:p w14:paraId="6D6FEE00" w14:textId="77777777" w:rsidR="00310096" w:rsidRDefault="00000000">
      <w:pPr>
        <w:pStyle w:val="Corpsdetexte"/>
        <w:ind w:left="165" w:right="156"/>
        <w:jc w:val="both"/>
      </w:pPr>
      <w:r>
        <w:t>Comme indiqu</w:t>
      </w:r>
      <w:r>
        <w:rPr>
          <w:rFonts w:ascii="Cambria Math" w:hAnsi="Cambria Math"/>
        </w:rPr>
        <w:t xml:space="preserve">é </w:t>
      </w:r>
      <w:r>
        <w:t>ci-dessus, la marque ant</w:t>
      </w:r>
      <w:r>
        <w:rPr>
          <w:rFonts w:ascii="Cambria Math" w:hAnsi="Cambria Math"/>
        </w:rPr>
        <w:t>é</w:t>
      </w:r>
      <w:r>
        <w:t>rieure est renomm</w:t>
      </w:r>
      <w:r>
        <w:rPr>
          <w:rFonts w:ascii="Cambria Math" w:hAnsi="Cambria Math"/>
        </w:rPr>
        <w:t>é</w:t>
      </w:r>
      <w:r>
        <w:t xml:space="preserve">e et les signes sont similaires dans une certaine mesure, </w:t>
      </w:r>
      <w:r>
        <w:rPr>
          <w:rFonts w:ascii="Cambria Math" w:hAnsi="Cambria Math"/>
        </w:rPr>
        <w:t xml:space="preserve">à </w:t>
      </w:r>
      <w:r>
        <w:t>tout le moins sur le plan visuel. Afin d</w:t>
      </w:r>
      <w:r>
        <w:rPr>
          <w:rFonts w:ascii="Cambria Math" w:hAnsi="Cambria Math"/>
        </w:rPr>
        <w:t>’é</w:t>
      </w:r>
      <w:r>
        <w:t>tablir l</w:t>
      </w:r>
      <w:r>
        <w:rPr>
          <w:rFonts w:ascii="Cambria Math" w:hAnsi="Cambria Math"/>
        </w:rPr>
        <w:t>’</w:t>
      </w:r>
      <w:r>
        <w:t>existence d</w:t>
      </w:r>
      <w:r>
        <w:rPr>
          <w:rFonts w:ascii="Cambria Math" w:hAnsi="Cambria Math"/>
        </w:rPr>
        <w:t>’</w:t>
      </w:r>
      <w:r>
        <w:t>un risque de pr</w:t>
      </w:r>
      <w:r>
        <w:rPr>
          <w:rFonts w:ascii="Cambria Math" w:hAnsi="Cambria Math"/>
        </w:rPr>
        <w:t>é</w:t>
      </w:r>
      <w:r>
        <w:t>judice, il convient de d</w:t>
      </w:r>
      <w:r>
        <w:rPr>
          <w:rFonts w:ascii="Cambria Math" w:hAnsi="Cambria Math"/>
        </w:rPr>
        <w:t>é</w:t>
      </w:r>
      <w:r>
        <w:t xml:space="preserve">montrer que, compte tenu de tous les facteurs pertinents, le public pertinent </w:t>
      </w:r>
      <w:r>
        <w:rPr>
          <w:rFonts w:ascii="Cambria Math" w:hAnsi="Cambria Math"/>
        </w:rPr>
        <w:t>é</w:t>
      </w:r>
      <w:r>
        <w:t>tablira un lien (ou une association) entre les signes. La n</w:t>
      </w:r>
      <w:r>
        <w:rPr>
          <w:rFonts w:ascii="Cambria Math" w:hAnsi="Cambria Math"/>
        </w:rPr>
        <w:t>é</w:t>
      </w:r>
      <w:r>
        <w:t>cessit</w:t>
      </w:r>
      <w:r>
        <w:rPr>
          <w:rFonts w:ascii="Cambria Math" w:hAnsi="Cambria Math"/>
        </w:rPr>
        <w:t xml:space="preserve">é </w:t>
      </w:r>
      <w:r>
        <w:t>d</w:t>
      </w:r>
      <w:r>
        <w:rPr>
          <w:rFonts w:ascii="Cambria Math" w:hAnsi="Cambria Math"/>
        </w:rPr>
        <w:t>’</w:t>
      </w:r>
      <w:r>
        <w:t xml:space="preserve">un tel </w:t>
      </w:r>
      <w:r>
        <w:rPr>
          <w:rFonts w:ascii="Cambria Math" w:hAnsi="Cambria Math"/>
        </w:rPr>
        <w:t>«</w:t>
      </w:r>
      <w:r>
        <w:t>lien</w:t>
      </w:r>
      <w:r>
        <w:rPr>
          <w:rFonts w:ascii="Cambria Math" w:hAnsi="Cambria Math"/>
        </w:rPr>
        <w:t xml:space="preserve">» </w:t>
      </w:r>
      <w:r>
        <w:t>entre les marques en conflit dans l</w:t>
      </w:r>
      <w:r>
        <w:rPr>
          <w:rFonts w:ascii="Cambria Math" w:hAnsi="Cambria Math"/>
        </w:rPr>
        <w:t>’</w:t>
      </w:r>
      <w:r>
        <w:t>esprit des consommateurs n</w:t>
      </w:r>
      <w:r>
        <w:rPr>
          <w:rFonts w:ascii="Cambria Math" w:hAnsi="Cambria Math"/>
        </w:rPr>
        <w:t>’</w:t>
      </w:r>
      <w:r>
        <w:t>est pas explicitement mentionn</w:t>
      </w:r>
      <w:r>
        <w:rPr>
          <w:rFonts w:ascii="Cambria Math" w:hAnsi="Cambria Math"/>
        </w:rPr>
        <w:t>é</w:t>
      </w:r>
      <w:r>
        <w:t xml:space="preserve">e </w:t>
      </w:r>
      <w:r>
        <w:rPr>
          <w:rFonts w:ascii="Cambria Math" w:hAnsi="Cambria Math"/>
        </w:rPr>
        <w:t xml:space="preserve">à </w:t>
      </w:r>
      <w:r>
        <w:t>l</w:t>
      </w:r>
      <w:r>
        <w:rPr>
          <w:rFonts w:ascii="Cambria Math" w:hAnsi="Cambria Math"/>
        </w:rPr>
        <w:t>’</w:t>
      </w:r>
      <w:r>
        <w:t>article</w:t>
      </w:r>
      <w:r>
        <w:rPr>
          <w:spacing w:val="-16"/>
        </w:rPr>
        <w:t xml:space="preserve"> </w:t>
      </w:r>
      <w:r>
        <w:t>8, paragraphe</w:t>
      </w:r>
      <w:r>
        <w:rPr>
          <w:spacing w:val="-15"/>
        </w:rPr>
        <w:t xml:space="preserve"> </w:t>
      </w:r>
      <w:r>
        <w:t xml:space="preserve">5, du RMUE, mais a </w:t>
      </w:r>
      <w:r>
        <w:rPr>
          <w:rFonts w:ascii="Cambria Math" w:hAnsi="Cambria Math"/>
        </w:rPr>
        <w:t>é</w:t>
      </w:r>
      <w:r>
        <w:t>t</w:t>
      </w:r>
      <w:r>
        <w:rPr>
          <w:rFonts w:ascii="Cambria Math" w:hAnsi="Cambria Math"/>
        </w:rPr>
        <w:t xml:space="preserve">é </w:t>
      </w:r>
      <w:r>
        <w:t>confirm</w:t>
      </w:r>
      <w:r>
        <w:rPr>
          <w:rFonts w:ascii="Cambria Math" w:hAnsi="Cambria Math"/>
        </w:rPr>
        <w:t>é</w:t>
      </w:r>
      <w:r>
        <w:t>e par plusieurs arr</w:t>
      </w:r>
      <w:r>
        <w:rPr>
          <w:rFonts w:ascii="Cambria Math" w:hAnsi="Cambria Math"/>
        </w:rPr>
        <w:t>ê</w:t>
      </w:r>
      <w:r>
        <w:t xml:space="preserve">ts (23/10/2003, C-408/01, Adidas, EU:C:2003:582, </w:t>
      </w:r>
      <w:r>
        <w:rPr>
          <w:rFonts w:ascii="Cambria Math" w:hAnsi="Cambria Math"/>
        </w:rPr>
        <w:t xml:space="preserve">§ </w:t>
      </w:r>
      <w:r>
        <w:t xml:space="preserve">29, 31; 27/11/2008, C- 252/07, Intel, EU:C:2008:655, </w:t>
      </w:r>
      <w:r>
        <w:rPr>
          <w:rFonts w:ascii="Cambria Math" w:hAnsi="Cambria Math"/>
        </w:rPr>
        <w:t xml:space="preserve">§ </w:t>
      </w:r>
      <w:r>
        <w:t>66). Il ne s</w:t>
      </w:r>
      <w:r>
        <w:rPr>
          <w:rFonts w:ascii="Cambria Math" w:hAnsi="Cambria Math"/>
        </w:rPr>
        <w:t>’</w:t>
      </w:r>
      <w:r>
        <w:t>agit pas d</w:t>
      </w:r>
      <w:r>
        <w:rPr>
          <w:rFonts w:ascii="Cambria Math" w:hAnsi="Cambria Math"/>
        </w:rPr>
        <w:t>’</w:t>
      </w:r>
      <w:r>
        <w:t>une exigence suppl</w:t>
      </w:r>
      <w:r>
        <w:rPr>
          <w:rFonts w:ascii="Cambria Math" w:hAnsi="Cambria Math"/>
        </w:rPr>
        <w:t>é</w:t>
      </w:r>
      <w:r>
        <w:t>mentaire: ceci refl</w:t>
      </w:r>
      <w:r>
        <w:rPr>
          <w:rFonts w:ascii="Cambria Math" w:hAnsi="Cambria Math"/>
        </w:rPr>
        <w:t>è</w:t>
      </w:r>
      <w:r>
        <w:t>te simplement la n</w:t>
      </w:r>
      <w:r>
        <w:rPr>
          <w:rFonts w:ascii="Cambria Math" w:hAnsi="Cambria Math"/>
        </w:rPr>
        <w:t>é</w:t>
      </w:r>
      <w:r>
        <w:t>cessit</w:t>
      </w:r>
      <w:r>
        <w:rPr>
          <w:rFonts w:ascii="Cambria Math" w:hAnsi="Cambria Math"/>
        </w:rPr>
        <w:t xml:space="preserve">é </w:t>
      </w:r>
      <w:r>
        <w:t>de d</w:t>
      </w:r>
      <w:r>
        <w:rPr>
          <w:rFonts w:ascii="Cambria Math" w:hAnsi="Cambria Math"/>
        </w:rPr>
        <w:t>é</w:t>
      </w:r>
      <w:r>
        <w:t>terminer si l</w:t>
      </w:r>
      <w:r>
        <w:rPr>
          <w:rFonts w:ascii="Cambria Math" w:hAnsi="Cambria Math"/>
        </w:rPr>
        <w:t>’</w:t>
      </w:r>
      <w:r>
        <w:t xml:space="preserve">association que le public pourrait </w:t>
      </w:r>
      <w:r>
        <w:rPr>
          <w:rFonts w:ascii="Cambria Math" w:hAnsi="Cambria Math"/>
        </w:rPr>
        <w:t>é</w:t>
      </w:r>
      <w:r>
        <w:t>tablir entre les signes est telle qu</w:t>
      </w:r>
      <w:r>
        <w:rPr>
          <w:rFonts w:ascii="Cambria Math" w:hAnsi="Cambria Math"/>
        </w:rPr>
        <w:t>’</w:t>
      </w:r>
      <w:r>
        <w:t>il est vraisemblable que l</w:t>
      </w:r>
      <w:r>
        <w:rPr>
          <w:rFonts w:ascii="Cambria Math" w:hAnsi="Cambria Math"/>
        </w:rPr>
        <w:t>’</w:t>
      </w:r>
      <w:r>
        <w:t>usage de la marque demand</w:t>
      </w:r>
      <w:r>
        <w:rPr>
          <w:rFonts w:ascii="Cambria Math" w:hAnsi="Cambria Math"/>
        </w:rPr>
        <w:t>é</w:t>
      </w:r>
      <w:r>
        <w:t>e tire ind</w:t>
      </w:r>
      <w:r>
        <w:rPr>
          <w:rFonts w:ascii="Cambria Math" w:hAnsi="Cambria Math"/>
        </w:rPr>
        <w:t>û</w:t>
      </w:r>
      <w:r>
        <w:t>ment profit du caract</w:t>
      </w:r>
      <w:r>
        <w:rPr>
          <w:rFonts w:ascii="Cambria Math" w:hAnsi="Cambria Math"/>
        </w:rPr>
        <w:t>è</w:t>
      </w:r>
      <w:r>
        <w:t>re distinctif ou de la renomm</w:t>
      </w:r>
      <w:r>
        <w:rPr>
          <w:rFonts w:ascii="Cambria Math" w:hAnsi="Cambria Math"/>
        </w:rPr>
        <w:t>é</w:t>
      </w:r>
      <w:r>
        <w:t>e de la marque ant</w:t>
      </w:r>
      <w:r>
        <w:rPr>
          <w:rFonts w:ascii="Cambria Math" w:hAnsi="Cambria Math"/>
        </w:rPr>
        <w:t>é</w:t>
      </w:r>
      <w:r>
        <w:t>rieure ou qu</w:t>
      </w:r>
      <w:r>
        <w:rPr>
          <w:rFonts w:ascii="Cambria Math" w:hAnsi="Cambria Math"/>
        </w:rPr>
        <w:t>’</w:t>
      </w:r>
      <w:r>
        <w:t>il lui porte pr</w:t>
      </w:r>
      <w:r>
        <w:rPr>
          <w:rFonts w:ascii="Cambria Math" w:hAnsi="Cambria Math"/>
        </w:rPr>
        <w:t>é</w:t>
      </w:r>
      <w:r>
        <w:t>judice, apr</w:t>
      </w:r>
      <w:r>
        <w:rPr>
          <w:rFonts w:ascii="Cambria Math" w:hAnsi="Cambria Math"/>
        </w:rPr>
        <w:t>è</w:t>
      </w:r>
      <w:r>
        <w:t>s avoir appr</w:t>
      </w:r>
      <w:r>
        <w:rPr>
          <w:rFonts w:ascii="Cambria Math" w:hAnsi="Cambria Math"/>
        </w:rPr>
        <w:t>é</w:t>
      </w:r>
      <w:r>
        <w:t>ci</w:t>
      </w:r>
      <w:r>
        <w:rPr>
          <w:rFonts w:ascii="Cambria Math" w:hAnsi="Cambria Math"/>
        </w:rPr>
        <w:t xml:space="preserve">é </w:t>
      </w:r>
      <w:r>
        <w:t>tous les facteurs pertinents dans le cas d</w:t>
      </w:r>
      <w:r>
        <w:rPr>
          <w:rFonts w:ascii="Cambria Math" w:hAnsi="Cambria Math"/>
        </w:rPr>
        <w:t>’</w:t>
      </w:r>
      <w:r>
        <w:t>esp</w:t>
      </w:r>
      <w:r>
        <w:rPr>
          <w:rFonts w:ascii="Cambria Math" w:hAnsi="Cambria Math"/>
        </w:rPr>
        <w:t>è</w:t>
      </w:r>
      <w:r>
        <w:t>ce.</w:t>
      </w:r>
    </w:p>
    <w:p w14:paraId="7A0A7334" w14:textId="77777777" w:rsidR="00310096" w:rsidRDefault="00310096">
      <w:pPr>
        <w:pStyle w:val="Corpsdetexte"/>
      </w:pPr>
    </w:p>
    <w:p w14:paraId="7DF27FCF" w14:textId="77777777" w:rsidR="00310096" w:rsidRDefault="00000000">
      <w:pPr>
        <w:pStyle w:val="Corpsdetexte"/>
        <w:spacing w:before="1"/>
        <w:ind w:left="165" w:right="157"/>
        <w:jc w:val="both"/>
      </w:pPr>
      <w:r>
        <w:t xml:space="preserve">Les </w:t>
      </w:r>
      <w:r>
        <w:rPr>
          <w:rFonts w:ascii="Cambria Math" w:hAnsi="Cambria Math"/>
        </w:rPr>
        <w:t>é</w:t>
      </w:r>
      <w:r>
        <w:t>ventuels facteurs pertinents aux fins de l</w:t>
      </w:r>
      <w:r>
        <w:rPr>
          <w:rFonts w:ascii="Cambria Math" w:hAnsi="Cambria Math"/>
        </w:rPr>
        <w:t>’</w:t>
      </w:r>
      <w:r>
        <w:t>examen d</w:t>
      </w:r>
      <w:r>
        <w:rPr>
          <w:rFonts w:ascii="Cambria Math" w:hAnsi="Cambria Math"/>
        </w:rPr>
        <w:t>’</w:t>
      </w:r>
      <w:r>
        <w:t xml:space="preserve">un </w:t>
      </w:r>
      <w:r>
        <w:rPr>
          <w:rFonts w:ascii="Cambria Math" w:hAnsi="Cambria Math"/>
        </w:rPr>
        <w:t>«</w:t>
      </w:r>
      <w:r>
        <w:t>lien</w:t>
      </w:r>
      <w:r>
        <w:rPr>
          <w:rFonts w:ascii="Cambria Math" w:hAnsi="Cambria Math"/>
        </w:rPr>
        <w:t xml:space="preserve">» </w:t>
      </w:r>
      <w:r>
        <w:t xml:space="preserve">incluent (27/11/2008, C- 252/07, Intel, EU:C:2008:655, </w:t>
      </w:r>
      <w:r>
        <w:rPr>
          <w:rFonts w:ascii="Cambria Math" w:hAnsi="Cambria Math"/>
        </w:rPr>
        <w:t xml:space="preserve">§ </w:t>
      </w:r>
      <w:r>
        <w:t>42):</w:t>
      </w:r>
    </w:p>
    <w:p w14:paraId="5B1E1405" w14:textId="77777777" w:rsidR="00310096" w:rsidRDefault="00000000">
      <w:pPr>
        <w:pStyle w:val="Corpsdetexte"/>
        <w:spacing w:before="252"/>
        <w:ind w:left="765"/>
      </w:pPr>
      <w:r>
        <w:t>le</w:t>
      </w:r>
      <w:r>
        <w:rPr>
          <w:spacing w:val="-5"/>
        </w:rPr>
        <w:t xml:space="preserve"> </w:t>
      </w:r>
      <w:r>
        <w:t>degré</w:t>
      </w:r>
      <w:r>
        <w:rPr>
          <w:spacing w:val="-3"/>
        </w:rPr>
        <w:t xml:space="preserve"> </w:t>
      </w:r>
      <w:r>
        <w:t>de</w:t>
      </w:r>
      <w:r>
        <w:rPr>
          <w:spacing w:val="-7"/>
        </w:rPr>
        <w:t xml:space="preserve"> </w:t>
      </w:r>
      <w:r>
        <w:t>similitude</w:t>
      </w:r>
      <w:r>
        <w:rPr>
          <w:spacing w:val="-4"/>
        </w:rPr>
        <w:t xml:space="preserve"> </w:t>
      </w:r>
      <w:r>
        <w:t>entre</w:t>
      </w:r>
      <w:r>
        <w:rPr>
          <w:spacing w:val="-4"/>
        </w:rPr>
        <w:t xml:space="preserve"> </w:t>
      </w:r>
      <w:r>
        <w:t>les</w:t>
      </w:r>
      <w:r>
        <w:rPr>
          <w:spacing w:val="-6"/>
        </w:rPr>
        <w:t xml:space="preserve"> </w:t>
      </w:r>
      <w:r>
        <w:rPr>
          <w:spacing w:val="-2"/>
        </w:rPr>
        <w:t>signes;</w:t>
      </w:r>
    </w:p>
    <w:p w14:paraId="2BF2EC58" w14:textId="77777777" w:rsidR="00310096" w:rsidRDefault="00310096">
      <w:pPr>
        <w:pStyle w:val="Corpsdetexte"/>
        <w:sectPr w:rsidR="00310096">
          <w:pgSz w:w="11910" w:h="16840"/>
          <w:pgMar w:top="1000" w:right="1275" w:bottom="280" w:left="1275" w:header="727" w:footer="0" w:gutter="0"/>
          <w:cols w:space="720"/>
        </w:sectPr>
      </w:pPr>
    </w:p>
    <w:p w14:paraId="2161AE5B" w14:textId="77777777" w:rsidR="00310096" w:rsidRDefault="00000000">
      <w:pPr>
        <w:pStyle w:val="Corpsdetexte"/>
        <w:spacing w:before="181"/>
      </w:pPr>
      <w:r>
        <w:rPr>
          <w:noProof/>
        </w:rPr>
        <w:lastRenderedPageBreak/>
        <mc:AlternateContent>
          <mc:Choice Requires="wps">
            <w:drawing>
              <wp:anchor distT="0" distB="0" distL="0" distR="0" simplePos="0" relativeHeight="15744000" behindDoc="0" locked="0" layoutInCell="1" allowOverlap="1" wp14:anchorId="7FD63258" wp14:editId="57565693">
                <wp:simplePos x="0" y="0"/>
                <wp:positionH relativeFrom="page">
                  <wp:posOffset>270575</wp:posOffset>
                </wp:positionH>
                <wp:positionV relativeFrom="page">
                  <wp:posOffset>1114363</wp:posOffset>
                </wp:positionV>
                <wp:extent cx="146050" cy="92100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6AB27A02"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4000" type="#_x0000_t202" id="docshape60"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3B6AB05A" w14:textId="77777777" w:rsidR="00310096" w:rsidRDefault="00000000">
      <w:pPr>
        <w:pStyle w:val="Corpsdetexte"/>
        <w:ind w:left="1125" w:hanging="360"/>
      </w:pPr>
      <w:r>
        <w:t>la</w:t>
      </w:r>
      <w:r>
        <w:rPr>
          <w:spacing w:val="70"/>
        </w:rPr>
        <w:t xml:space="preserve"> </w:t>
      </w:r>
      <w:r>
        <w:t>nature</w:t>
      </w:r>
      <w:r>
        <w:rPr>
          <w:spacing w:val="68"/>
        </w:rPr>
        <w:t xml:space="preserve"> </w:t>
      </w:r>
      <w:r>
        <w:t>des</w:t>
      </w:r>
      <w:r>
        <w:rPr>
          <w:spacing w:val="68"/>
        </w:rPr>
        <w:t xml:space="preserve"> </w:t>
      </w:r>
      <w:r>
        <w:t>produits</w:t>
      </w:r>
      <w:r>
        <w:rPr>
          <w:spacing w:val="68"/>
        </w:rPr>
        <w:t xml:space="preserve"> </w:t>
      </w:r>
      <w:r>
        <w:t>et</w:t>
      </w:r>
      <w:r>
        <w:rPr>
          <w:spacing w:val="69"/>
        </w:rPr>
        <w:t xml:space="preserve"> </w:t>
      </w:r>
      <w:r>
        <w:t>des</w:t>
      </w:r>
      <w:r>
        <w:rPr>
          <w:spacing w:val="68"/>
        </w:rPr>
        <w:t xml:space="preserve"> </w:t>
      </w:r>
      <w:r>
        <w:t>services,</w:t>
      </w:r>
      <w:r>
        <w:rPr>
          <w:spacing w:val="69"/>
        </w:rPr>
        <w:t xml:space="preserve"> </w:t>
      </w:r>
      <w:r>
        <w:t>y</w:t>
      </w:r>
      <w:r>
        <w:rPr>
          <w:spacing w:val="68"/>
        </w:rPr>
        <w:t xml:space="preserve"> </w:t>
      </w:r>
      <w:r>
        <w:t>compris</w:t>
      </w:r>
      <w:r>
        <w:rPr>
          <w:spacing w:val="68"/>
        </w:rPr>
        <w:t xml:space="preserve"> </w:t>
      </w:r>
      <w:r>
        <w:t>le</w:t>
      </w:r>
      <w:r>
        <w:rPr>
          <w:spacing w:val="68"/>
        </w:rPr>
        <w:t xml:space="preserve"> </w:t>
      </w:r>
      <w:r>
        <w:t>degré</w:t>
      </w:r>
      <w:r>
        <w:rPr>
          <w:spacing w:val="68"/>
        </w:rPr>
        <w:t xml:space="preserve"> </w:t>
      </w:r>
      <w:r>
        <w:t>de</w:t>
      </w:r>
      <w:r>
        <w:rPr>
          <w:spacing w:val="67"/>
        </w:rPr>
        <w:t xml:space="preserve"> </w:t>
      </w:r>
      <w:r>
        <w:t>proximité</w:t>
      </w:r>
      <w:r>
        <w:rPr>
          <w:spacing w:val="70"/>
        </w:rPr>
        <w:t xml:space="preserve"> </w:t>
      </w:r>
      <w:r>
        <w:t>ou</w:t>
      </w:r>
      <w:r>
        <w:rPr>
          <w:spacing w:val="67"/>
        </w:rPr>
        <w:t xml:space="preserve"> </w:t>
      </w:r>
      <w:r>
        <w:t>de dissemblance de ces produits ou services ainsi que le public pertinent;</w:t>
      </w:r>
    </w:p>
    <w:p w14:paraId="06FC37A1" w14:textId="77777777" w:rsidR="00310096" w:rsidRDefault="00310096">
      <w:pPr>
        <w:pStyle w:val="Corpsdetexte"/>
      </w:pPr>
    </w:p>
    <w:p w14:paraId="14EEC12E" w14:textId="77777777" w:rsidR="00310096" w:rsidRDefault="00000000">
      <w:pPr>
        <w:pStyle w:val="Corpsdetexte"/>
        <w:ind w:left="765"/>
      </w:pPr>
      <w:r>
        <w:t>l’intensité</w:t>
      </w:r>
      <w:r>
        <w:rPr>
          <w:spacing w:val="-5"/>
        </w:rPr>
        <w:t xml:space="preserve"> </w:t>
      </w:r>
      <w:r>
        <w:t>de</w:t>
      </w:r>
      <w:r>
        <w:rPr>
          <w:spacing w:val="-4"/>
        </w:rPr>
        <w:t xml:space="preserve"> </w:t>
      </w:r>
      <w:r>
        <w:t>la</w:t>
      </w:r>
      <w:r>
        <w:rPr>
          <w:spacing w:val="-6"/>
        </w:rPr>
        <w:t xml:space="preserve"> </w:t>
      </w:r>
      <w:r>
        <w:t>renommée</w:t>
      </w:r>
      <w:r>
        <w:rPr>
          <w:spacing w:val="-4"/>
        </w:rPr>
        <w:t xml:space="preserve"> </w:t>
      </w:r>
      <w:r>
        <w:t>de</w:t>
      </w:r>
      <w:r>
        <w:rPr>
          <w:spacing w:val="-4"/>
        </w:rPr>
        <w:t xml:space="preserve"> </w:t>
      </w:r>
      <w:r>
        <w:t>la</w:t>
      </w:r>
      <w:r>
        <w:rPr>
          <w:spacing w:val="-6"/>
        </w:rPr>
        <w:t xml:space="preserve"> </w:t>
      </w:r>
      <w:r>
        <w:t>marque</w:t>
      </w:r>
      <w:r>
        <w:rPr>
          <w:spacing w:val="-5"/>
        </w:rPr>
        <w:t xml:space="preserve"> </w:t>
      </w:r>
      <w:r>
        <w:rPr>
          <w:spacing w:val="-2"/>
        </w:rPr>
        <w:t>antérieure;</w:t>
      </w:r>
    </w:p>
    <w:p w14:paraId="2675C333" w14:textId="77777777" w:rsidR="00310096" w:rsidRDefault="00310096">
      <w:pPr>
        <w:pStyle w:val="Corpsdetexte"/>
      </w:pPr>
    </w:p>
    <w:p w14:paraId="0ECE4BEE" w14:textId="77777777" w:rsidR="00310096" w:rsidRDefault="00000000">
      <w:pPr>
        <w:pStyle w:val="Corpsdetexte"/>
        <w:ind w:left="1125" w:hanging="360"/>
      </w:pPr>
      <w:r>
        <w:t>le</w:t>
      </w:r>
      <w:r>
        <w:rPr>
          <w:spacing w:val="40"/>
        </w:rPr>
        <w:t xml:space="preserve"> </w:t>
      </w:r>
      <w:r>
        <w:t>degré</w:t>
      </w:r>
      <w:r>
        <w:rPr>
          <w:spacing w:val="40"/>
        </w:rPr>
        <w:t xml:space="preserve"> </w:t>
      </w:r>
      <w:r>
        <w:t>de</w:t>
      </w:r>
      <w:r>
        <w:rPr>
          <w:spacing w:val="40"/>
        </w:rPr>
        <w:t xml:space="preserve"> </w:t>
      </w:r>
      <w:r>
        <w:t>caractère</w:t>
      </w:r>
      <w:r>
        <w:rPr>
          <w:spacing w:val="40"/>
        </w:rPr>
        <w:t xml:space="preserve"> </w:t>
      </w:r>
      <w:r>
        <w:t>distinctif,</w:t>
      </w:r>
      <w:r>
        <w:rPr>
          <w:spacing w:val="40"/>
        </w:rPr>
        <w:t xml:space="preserve"> </w:t>
      </w:r>
      <w:r>
        <w:t>intrinsèque</w:t>
      </w:r>
      <w:r>
        <w:rPr>
          <w:spacing w:val="40"/>
        </w:rPr>
        <w:t xml:space="preserve"> </w:t>
      </w:r>
      <w:r>
        <w:t>ou</w:t>
      </w:r>
      <w:r>
        <w:rPr>
          <w:spacing w:val="40"/>
        </w:rPr>
        <w:t xml:space="preserve"> </w:t>
      </w:r>
      <w:r>
        <w:t>acquis</w:t>
      </w:r>
      <w:r>
        <w:rPr>
          <w:spacing w:val="40"/>
        </w:rPr>
        <w:t xml:space="preserve"> </w:t>
      </w:r>
      <w:r>
        <w:t>par</w:t>
      </w:r>
      <w:r>
        <w:rPr>
          <w:spacing w:val="40"/>
        </w:rPr>
        <w:t xml:space="preserve"> </w:t>
      </w:r>
      <w:r>
        <w:t>l’usage,</w:t>
      </w:r>
      <w:r>
        <w:rPr>
          <w:spacing w:val="40"/>
        </w:rPr>
        <w:t xml:space="preserve"> </w:t>
      </w:r>
      <w:r>
        <w:t>de</w:t>
      </w:r>
      <w:r>
        <w:rPr>
          <w:spacing w:val="40"/>
        </w:rPr>
        <w:t xml:space="preserve"> </w:t>
      </w:r>
      <w:r>
        <w:t>la</w:t>
      </w:r>
      <w:r>
        <w:rPr>
          <w:spacing w:val="40"/>
        </w:rPr>
        <w:t xml:space="preserve"> </w:t>
      </w:r>
      <w:r>
        <w:t>marque</w:t>
      </w:r>
      <w:r>
        <w:rPr>
          <w:spacing w:val="40"/>
        </w:rPr>
        <w:t xml:space="preserve"> </w:t>
      </w:r>
      <w:r>
        <w:rPr>
          <w:spacing w:val="-2"/>
        </w:rPr>
        <w:t>antérieure;</w:t>
      </w:r>
    </w:p>
    <w:p w14:paraId="1B43991E" w14:textId="77777777" w:rsidR="00310096" w:rsidRDefault="00310096">
      <w:pPr>
        <w:pStyle w:val="Corpsdetexte"/>
      </w:pPr>
    </w:p>
    <w:p w14:paraId="0B55DB75" w14:textId="77777777" w:rsidR="00310096" w:rsidRDefault="00000000">
      <w:pPr>
        <w:pStyle w:val="Corpsdetexte"/>
        <w:ind w:left="765"/>
      </w:pPr>
      <w:r>
        <w:t>l’existence</w:t>
      </w:r>
      <w:r>
        <w:rPr>
          <w:spacing w:val="-6"/>
        </w:rPr>
        <w:t xml:space="preserve"> </w:t>
      </w:r>
      <w:r>
        <w:t>d’un</w:t>
      </w:r>
      <w:r>
        <w:rPr>
          <w:spacing w:val="-5"/>
        </w:rPr>
        <w:t xml:space="preserve"> </w:t>
      </w:r>
      <w:r>
        <w:t>risque</w:t>
      </w:r>
      <w:r>
        <w:rPr>
          <w:spacing w:val="-7"/>
        </w:rPr>
        <w:t xml:space="preserve"> </w:t>
      </w:r>
      <w:r>
        <w:t>de</w:t>
      </w:r>
      <w:r>
        <w:rPr>
          <w:spacing w:val="-5"/>
        </w:rPr>
        <w:t xml:space="preserve"> </w:t>
      </w:r>
      <w:r>
        <w:t>confusion</w:t>
      </w:r>
      <w:r>
        <w:rPr>
          <w:spacing w:val="-7"/>
        </w:rPr>
        <w:t xml:space="preserve"> </w:t>
      </w:r>
      <w:r>
        <w:t>dans</w:t>
      </w:r>
      <w:r>
        <w:rPr>
          <w:spacing w:val="-5"/>
        </w:rPr>
        <w:t xml:space="preserve"> </w:t>
      </w:r>
      <w:r>
        <w:t>l’esprit</w:t>
      </w:r>
      <w:r>
        <w:rPr>
          <w:spacing w:val="-7"/>
        </w:rPr>
        <w:t xml:space="preserve"> </w:t>
      </w:r>
      <w:r>
        <w:t>du</w:t>
      </w:r>
      <w:r>
        <w:rPr>
          <w:spacing w:val="-5"/>
        </w:rPr>
        <w:t xml:space="preserve"> </w:t>
      </w:r>
      <w:r>
        <w:rPr>
          <w:spacing w:val="-2"/>
        </w:rPr>
        <w:t>public;</w:t>
      </w:r>
    </w:p>
    <w:p w14:paraId="77D0DCE2" w14:textId="77777777" w:rsidR="00310096" w:rsidRDefault="00310096">
      <w:pPr>
        <w:pStyle w:val="Corpsdetexte"/>
      </w:pPr>
    </w:p>
    <w:p w14:paraId="22B6D1F3" w14:textId="77777777" w:rsidR="00310096" w:rsidRDefault="00000000">
      <w:pPr>
        <w:pStyle w:val="Corpsdetexte"/>
        <w:ind w:left="165" w:right="158"/>
        <w:jc w:val="both"/>
      </w:pPr>
      <w:r>
        <w:t>Cette liste n’est pas exhaustive et d’autres critères peuvent être pertinents en fonction des circonstances particulières. En outre, l’existence d’un «lien» peut être établie sur la base de certains de ces critères seulement;</w:t>
      </w:r>
    </w:p>
    <w:p w14:paraId="5AA116E4" w14:textId="77777777" w:rsidR="00310096" w:rsidRDefault="00310096">
      <w:pPr>
        <w:pStyle w:val="Corpsdetexte"/>
        <w:spacing w:before="1"/>
      </w:pPr>
    </w:p>
    <w:p w14:paraId="70F80AD5" w14:textId="77777777" w:rsidR="00310096" w:rsidRDefault="00000000">
      <w:pPr>
        <w:pStyle w:val="Corpsdetexte"/>
        <w:ind w:left="165" w:right="157"/>
        <w:jc w:val="both"/>
      </w:pPr>
      <w:r>
        <w:t>Il convient tout d’abord de tenir compte du fait que les signes ont été jugés faiblement similaires sur le plan visuel. Ceci est dû au fait que les éléments</w:t>
      </w:r>
      <w:r>
        <w:rPr>
          <w:spacing w:val="-1"/>
        </w:rPr>
        <w:t xml:space="preserve"> </w:t>
      </w:r>
      <w:r>
        <w:t>figuratifs</w:t>
      </w:r>
      <w:r>
        <w:rPr>
          <w:spacing w:val="-1"/>
        </w:rPr>
        <w:t xml:space="preserve"> </w:t>
      </w:r>
      <w:r>
        <w:t>qui les composent ou qui les composent sont formés de la même manière (en superposant deux éléments ronds) et seront perçus par les consommateurs comme des monogrammes, en particulier compte</w:t>
      </w:r>
      <w:r>
        <w:rPr>
          <w:spacing w:val="-3"/>
        </w:rPr>
        <w:t xml:space="preserve"> </w:t>
      </w:r>
      <w:r>
        <w:t>tenu</w:t>
      </w:r>
      <w:r>
        <w:rPr>
          <w:spacing w:val="-1"/>
        </w:rPr>
        <w:t xml:space="preserve"> </w:t>
      </w:r>
      <w:r>
        <w:t>de</w:t>
      </w:r>
      <w:r>
        <w:rPr>
          <w:spacing w:val="-1"/>
        </w:rPr>
        <w:t xml:space="preserve"> </w:t>
      </w:r>
      <w:r>
        <w:t>l’industrie</w:t>
      </w:r>
      <w:r>
        <w:rPr>
          <w:spacing w:val="-1"/>
        </w:rPr>
        <w:t xml:space="preserve"> </w:t>
      </w:r>
      <w:r>
        <w:t>à laquelle</w:t>
      </w:r>
      <w:r>
        <w:rPr>
          <w:spacing w:val="-1"/>
        </w:rPr>
        <w:t xml:space="preserve"> </w:t>
      </w:r>
      <w:r>
        <w:t>ils appartiennent (l’industrie</w:t>
      </w:r>
      <w:r>
        <w:rPr>
          <w:spacing w:val="-1"/>
        </w:rPr>
        <w:t xml:space="preserve"> </w:t>
      </w:r>
      <w:r>
        <w:t>de</w:t>
      </w:r>
      <w:r>
        <w:rPr>
          <w:spacing w:val="-1"/>
        </w:rPr>
        <w:t xml:space="preserve"> </w:t>
      </w:r>
      <w:r>
        <w:t>la</w:t>
      </w:r>
      <w:r>
        <w:rPr>
          <w:spacing w:val="-3"/>
        </w:rPr>
        <w:t xml:space="preserve"> </w:t>
      </w:r>
      <w:r>
        <w:t>mode</w:t>
      </w:r>
      <w:r>
        <w:rPr>
          <w:spacing w:val="-1"/>
        </w:rPr>
        <w:t xml:space="preserve"> </w:t>
      </w:r>
      <w:r>
        <w:t>ou</w:t>
      </w:r>
      <w:r>
        <w:rPr>
          <w:spacing w:val="-1"/>
        </w:rPr>
        <w:t xml:space="preserve"> </w:t>
      </w:r>
      <w:r>
        <w:t>la</w:t>
      </w:r>
      <w:r>
        <w:rPr>
          <w:spacing w:val="-3"/>
        </w:rPr>
        <w:t xml:space="preserve"> </w:t>
      </w:r>
      <w:r>
        <w:t>fabrication de produits en cuir).</w:t>
      </w:r>
    </w:p>
    <w:p w14:paraId="76C47DB2" w14:textId="77777777" w:rsidR="00310096" w:rsidRDefault="00310096">
      <w:pPr>
        <w:pStyle w:val="Corpsdetexte"/>
        <w:spacing w:before="1"/>
      </w:pPr>
    </w:p>
    <w:p w14:paraId="6B16FA4A" w14:textId="77777777" w:rsidR="00310096" w:rsidRDefault="00000000">
      <w:pPr>
        <w:pStyle w:val="Corpsdetexte"/>
        <w:ind w:left="165" w:right="158"/>
        <w:jc w:val="both"/>
      </w:pPr>
      <w:r>
        <w:t>Comme</w:t>
      </w:r>
      <w:r>
        <w:rPr>
          <w:spacing w:val="-2"/>
        </w:rPr>
        <w:t xml:space="preserve"> </w:t>
      </w:r>
      <w:r>
        <w:t>il ressort des</w:t>
      </w:r>
      <w:r>
        <w:rPr>
          <w:spacing w:val="-2"/>
        </w:rPr>
        <w:t xml:space="preserve"> </w:t>
      </w:r>
      <w:r>
        <w:t>éléments</w:t>
      </w:r>
      <w:r>
        <w:rPr>
          <w:spacing w:val="-2"/>
        </w:rPr>
        <w:t xml:space="preserve"> </w:t>
      </w:r>
      <w:r>
        <w:t>de</w:t>
      </w:r>
      <w:r>
        <w:rPr>
          <w:spacing w:val="-2"/>
        </w:rPr>
        <w:t xml:space="preserve"> </w:t>
      </w:r>
      <w:r>
        <w:t>preuve ci-dessus, les</w:t>
      </w:r>
      <w:r>
        <w:rPr>
          <w:spacing w:val="-2"/>
        </w:rPr>
        <w:t xml:space="preserve"> </w:t>
      </w:r>
      <w:r>
        <w:t>marques</w:t>
      </w:r>
      <w:r>
        <w:rPr>
          <w:spacing w:val="-2"/>
        </w:rPr>
        <w:t xml:space="preserve"> </w:t>
      </w:r>
      <w:r>
        <w:t>«logo</w:t>
      </w:r>
      <w:r>
        <w:rPr>
          <w:spacing w:val="-2"/>
        </w:rPr>
        <w:t xml:space="preserve"> </w:t>
      </w:r>
      <w:r>
        <w:t>GG» de</w:t>
      </w:r>
      <w:r>
        <w:rPr>
          <w:spacing w:val="-2"/>
        </w:rPr>
        <w:t xml:space="preserve"> </w:t>
      </w:r>
      <w:r>
        <w:t>l’opposante (y compris la marque antérieure à l’examen) ont d’abord été élaborées comme une</w:t>
      </w:r>
      <w:r>
        <w:rPr>
          <w:spacing w:val="40"/>
        </w:rPr>
        <w:t xml:space="preserve"> </w:t>
      </w:r>
      <w:r>
        <w:t>référence aux initiales du fondateur de l’opposante, M. Guccio Gucci. Elles sont constamment protégées, utilisées, développées et adaptées au fil des années depuis les années</w:t>
      </w:r>
      <w:r>
        <w:rPr>
          <w:spacing w:val="-1"/>
        </w:rPr>
        <w:t xml:space="preserve"> </w:t>
      </w:r>
      <w:r>
        <w:t>1970</w:t>
      </w:r>
      <w:r>
        <w:rPr>
          <w:spacing w:val="-1"/>
        </w:rPr>
        <w:t xml:space="preserve"> </w:t>
      </w:r>
      <w:r>
        <w:t>et apposées sur un</w:t>
      </w:r>
      <w:r>
        <w:rPr>
          <w:spacing w:val="-3"/>
        </w:rPr>
        <w:t xml:space="preserve"> </w:t>
      </w:r>
      <w:r>
        <w:t>très</w:t>
      </w:r>
      <w:r>
        <w:rPr>
          <w:spacing w:val="-3"/>
        </w:rPr>
        <w:t xml:space="preserve"> </w:t>
      </w:r>
      <w:r>
        <w:t>grand</w:t>
      </w:r>
      <w:r>
        <w:rPr>
          <w:spacing w:val="-1"/>
        </w:rPr>
        <w:t xml:space="preserve"> </w:t>
      </w:r>
      <w:r>
        <w:t>nombre</w:t>
      </w:r>
      <w:r>
        <w:rPr>
          <w:spacing w:val="-1"/>
        </w:rPr>
        <w:t xml:space="preserve"> </w:t>
      </w:r>
      <w:r>
        <w:t>de</w:t>
      </w:r>
      <w:r>
        <w:rPr>
          <w:spacing w:val="-1"/>
        </w:rPr>
        <w:t xml:space="preserve"> </w:t>
      </w:r>
      <w:r>
        <w:t>produits.</w:t>
      </w:r>
      <w:r>
        <w:rPr>
          <w:spacing w:val="-2"/>
        </w:rPr>
        <w:t xml:space="preserve"> </w:t>
      </w:r>
      <w:r>
        <w:t>Il</w:t>
      </w:r>
      <w:r>
        <w:rPr>
          <w:spacing w:val="-1"/>
        </w:rPr>
        <w:t xml:space="preserve"> </w:t>
      </w:r>
      <w:r>
        <w:t>en</w:t>
      </w:r>
      <w:r>
        <w:rPr>
          <w:spacing w:val="-1"/>
        </w:rPr>
        <w:t xml:space="preserve"> </w:t>
      </w:r>
      <w:r>
        <w:t>résulte</w:t>
      </w:r>
      <w:r>
        <w:rPr>
          <w:spacing w:val="-3"/>
        </w:rPr>
        <w:t xml:space="preserve"> </w:t>
      </w:r>
      <w:r>
        <w:t>que</w:t>
      </w:r>
      <w:r>
        <w:rPr>
          <w:spacing w:val="-1"/>
        </w:rPr>
        <w:t xml:space="preserve"> </w:t>
      </w:r>
      <w:r>
        <w:t>ces</w:t>
      </w:r>
      <w:r>
        <w:rPr>
          <w:spacing w:val="-3"/>
        </w:rPr>
        <w:t xml:space="preserve"> </w:t>
      </w:r>
      <w:r>
        <w:t>«logos GG» deviennent, par eux-mêmes, des identificateurs clés de Gucci. Elles sont utilisées et apposées de manière indépendante, comme référence à Gucci et, en tant que telles,</w:t>
      </w:r>
      <w:r>
        <w:rPr>
          <w:spacing w:val="40"/>
        </w:rPr>
        <w:t xml:space="preserve"> </w:t>
      </w:r>
      <w:r>
        <w:t xml:space="preserve">comme une identification de l’origine. La marque antérieure </w:t>
      </w:r>
      <w:r>
        <w:rPr>
          <w:noProof/>
          <w:spacing w:val="3"/>
        </w:rPr>
        <w:drawing>
          <wp:inline distT="0" distB="0" distL="0" distR="0" wp14:anchorId="264421F1" wp14:editId="1ED6DA8B">
            <wp:extent cx="600075" cy="432053"/>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 cstate="print"/>
                    <a:stretch>
                      <a:fillRect/>
                    </a:stretch>
                  </pic:blipFill>
                  <pic:spPr>
                    <a:xfrm>
                      <a:off x="0" y="0"/>
                      <a:ext cx="600075" cy="432053"/>
                    </a:xfrm>
                    <a:prstGeom prst="rect">
                      <a:avLst/>
                    </a:prstGeom>
                  </pic:spPr>
                </pic:pic>
              </a:graphicData>
            </a:graphic>
          </wp:inline>
        </w:drawing>
      </w:r>
      <w:r>
        <w:rPr>
          <w:rFonts w:ascii="Times New Roman" w:hAnsi="Times New Roman"/>
          <w:spacing w:val="3"/>
        </w:rPr>
        <w:t xml:space="preserve"> </w:t>
      </w:r>
      <w:r>
        <w:t>a été reconnue comme un identifiant mondial de produits de luxe dans les vêtements et les accessoires. Dans un contexte plus étroit, il a été constaté que la marque jouissait d’une très grande renommée</w:t>
      </w:r>
      <w:r>
        <w:rPr>
          <w:spacing w:val="-2"/>
        </w:rPr>
        <w:t xml:space="preserve"> </w:t>
      </w:r>
      <w:r>
        <w:t>dans</w:t>
      </w:r>
      <w:r>
        <w:rPr>
          <w:spacing w:val="-2"/>
        </w:rPr>
        <w:t xml:space="preserve"> </w:t>
      </w:r>
      <w:r>
        <w:t>l’Union</w:t>
      </w:r>
      <w:r>
        <w:rPr>
          <w:spacing w:val="-2"/>
        </w:rPr>
        <w:t xml:space="preserve"> </w:t>
      </w:r>
      <w:r>
        <w:t>européenne</w:t>
      </w:r>
      <w:r>
        <w:rPr>
          <w:spacing w:val="-2"/>
        </w:rPr>
        <w:t xml:space="preserve"> </w:t>
      </w:r>
      <w:r>
        <w:t>pour</w:t>
      </w:r>
      <w:r>
        <w:rPr>
          <w:spacing w:val="-1"/>
        </w:rPr>
        <w:t xml:space="preserve"> </w:t>
      </w:r>
      <w:r>
        <w:t>des</w:t>
      </w:r>
      <w:r>
        <w:rPr>
          <w:spacing w:val="-2"/>
        </w:rPr>
        <w:t xml:space="preserve"> </w:t>
      </w:r>
      <w:r>
        <w:t>articles vestimentaires,</w:t>
      </w:r>
      <w:r>
        <w:rPr>
          <w:spacing w:val="-1"/>
        </w:rPr>
        <w:t xml:space="preserve"> </w:t>
      </w:r>
      <w:r>
        <w:t>en</w:t>
      </w:r>
      <w:r>
        <w:rPr>
          <w:spacing w:val="-4"/>
        </w:rPr>
        <w:t xml:space="preserve"> </w:t>
      </w:r>
      <w:r>
        <w:t>particulier</w:t>
      </w:r>
      <w:r>
        <w:rPr>
          <w:spacing w:val="-1"/>
        </w:rPr>
        <w:t xml:space="preserve"> </w:t>
      </w:r>
      <w:r>
        <w:t>pour</w:t>
      </w:r>
      <w:r>
        <w:rPr>
          <w:spacing w:val="-2"/>
        </w:rPr>
        <w:t xml:space="preserve"> </w:t>
      </w:r>
      <w:r>
        <w:t>des t-shirts et ceintures compris dans la classe 25 et des sacs compris dans la classe 18.</w:t>
      </w:r>
    </w:p>
    <w:p w14:paraId="6B8CE6FC" w14:textId="77777777" w:rsidR="00310096" w:rsidRDefault="00000000">
      <w:pPr>
        <w:pStyle w:val="Corpsdetexte"/>
        <w:spacing w:before="252"/>
        <w:ind w:left="165" w:right="159"/>
        <w:jc w:val="both"/>
      </w:pPr>
      <w:r>
        <w:t>La demanderesse sollicite la protection d’une variété de produits compris</w:t>
      </w:r>
      <w:r>
        <w:rPr>
          <w:spacing w:val="-2"/>
        </w:rPr>
        <w:t xml:space="preserve"> </w:t>
      </w:r>
      <w:r>
        <w:t>dans les classes 9 (articles de lunetterie, y compris la mode), 14 (articles de bijouterie; instruments chronométriques et horloges; pierres précieuses, métaux précieux et alliages), 18 (sacs; bagages; parapluies; parasols; cannes; une variété de produits à différentes fins en cuir, y compris ceux destinés à l’usage des animaux; peaux, peaux et fourrures; cuir et imitations</w:t>
      </w:r>
      <w:r>
        <w:rPr>
          <w:spacing w:val="40"/>
        </w:rPr>
        <w:t xml:space="preserve"> </w:t>
      </w:r>
      <w:r>
        <w:t>du cuir) et 25 (vêtements, chaussures et articles de chapellerie).</w:t>
      </w:r>
    </w:p>
    <w:p w14:paraId="1786465D" w14:textId="77777777" w:rsidR="00310096" w:rsidRDefault="00000000">
      <w:pPr>
        <w:pStyle w:val="Corpsdetexte"/>
        <w:spacing w:before="252"/>
        <w:ind w:left="165" w:right="157"/>
        <w:jc w:val="both"/>
      </w:pPr>
      <w:r>
        <w:t>Il est évident qu’une partie des produits contestés compris dans les quatre classes sont identiques ou appartiennent aux mêmes domaines commerciaux ou auxiliaires que les produits renommés de l’opposante (à savoir le secteur de la mode). Par conséquent, il</w:t>
      </w:r>
      <w:r>
        <w:rPr>
          <w:spacing w:val="80"/>
        </w:rPr>
        <w:t xml:space="preserve"> </w:t>
      </w:r>
      <w:r>
        <w:t>existe un grand chevauchement entre les consommateurs ciblés et les canaux de</w:t>
      </w:r>
      <w:r>
        <w:rPr>
          <w:spacing w:val="40"/>
        </w:rPr>
        <w:t xml:space="preserve"> </w:t>
      </w:r>
      <w:r>
        <w:t>distribution des articles de mode, y compris la mode et les accessoires de voyage. Il s’agit, en particulier, de tous types de vêtements, chaussures, chapeaux, sacs et bagages personnels ou d’autres types de sacs, bijoux et autres objets d’ornement personnel (y compris lunettes, cannes, cannes, parapluies ou parasols), portés par l’utilisateur final, dans le but de réaliser un aspect esthétique accompli, ou comme une déclaration d’appartenance à une classe sociale ou à un mode de vie particulier. Cela s’applique également aux accessoires équestres compris dans la classe 18 dans la mesure où l’équitation peut être considéré</w:t>
      </w:r>
      <w:r>
        <w:rPr>
          <w:spacing w:val="40"/>
        </w:rPr>
        <w:t xml:space="preserve"> </w:t>
      </w:r>
      <w:r>
        <w:t>comme</w:t>
      </w:r>
      <w:r>
        <w:rPr>
          <w:spacing w:val="40"/>
        </w:rPr>
        <w:t xml:space="preserve"> </w:t>
      </w:r>
      <w:r>
        <w:t>faisant</w:t>
      </w:r>
      <w:r>
        <w:rPr>
          <w:spacing w:val="40"/>
        </w:rPr>
        <w:t xml:space="preserve"> </w:t>
      </w:r>
      <w:r>
        <w:t>également</w:t>
      </w:r>
      <w:r>
        <w:rPr>
          <w:spacing w:val="40"/>
        </w:rPr>
        <w:t xml:space="preserve"> </w:t>
      </w:r>
      <w:r>
        <w:t>l’objet</w:t>
      </w:r>
      <w:r>
        <w:rPr>
          <w:spacing w:val="40"/>
        </w:rPr>
        <w:t xml:space="preserve"> </w:t>
      </w:r>
      <w:r>
        <w:t>d’tendances</w:t>
      </w:r>
      <w:r>
        <w:rPr>
          <w:spacing w:val="40"/>
        </w:rPr>
        <w:t xml:space="preserve"> </w:t>
      </w:r>
      <w:r>
        <w:t>de</w:t>
      </w:r>
      <w:r>
        <w:rPr>
          <w:spacing w:val="40"/>
        </w:rPr>
        <w:t xml:space="preserve"> </w:t>
      </w:r>
      <w:r>
        <w:t>la</w:t>
      </w:r>
      <w:r>
        <w:rPr>
          <w:spacing w:val="40"/>
        </w:rPr>
        <w:t xml:space="preserve"> </w:t>
      </w:r>
      <w:r>
        <w:t>mode</w:t>
      </w:r>
      <w:r>
        <w:rPr>
          <w:spacing w:val="40"/>
        </w:rPr>
        <w:t xml:space="preserve"> </w:t>
      </w:r>
      <w:r>
        <w:t>ou</w:t>
      </w:r>
      <w:r>
        <w:rPr>
          <w:spacing w:val="40"/>
        </w:rPr>
        <w:t xml:space="preserve"> </w:t>
      </w:r>
      <w:r>
        <w:t>pratiqué</w:t>
      </w:r>
      <w:r>
        <w:rPr>
          <w:spacing w:val="40"/>
        </w:rPr>
        <w:t xml:space="preserve"> </w:t>
      </w:r>
      <w:r>
        <w:t>par</w:t>
      </w:r>
      <w:r>
        <w:rPr>
          <w:spacing w:val="40"/>
        </w:rPr>
        <w:t xml:space="preserve"> </w:t>
      </w:r>
      <w:r>
        <w:t>les</w:t>
      </w:r>
    </w:p>
    <w:p w14:paraId="15461828" w14:textId="77777777" w:rsidR="00310096" w:rsidRDefault="00310096">
      <w:pPr>
        <w:pStyle w:val="Corpsdetexte"/>
        <w:jc w:val="both"/>
        <w:sectPr w:rsidR="00310096">
          <w:pgSz w:w="11910" w:h="16840"/>
          <w:pgMar w:top="1000" w:right="1275" w:bottom="280" w:left="1275" w:header="727" w:footer="0" w:gutter="0"/>
          <w:cols w:space="720"/>
        </w:sectPr>
      </w:pPr>
    </w:p>
    <w:p w14:paraId="3D197D1D" w14:textId="77777777" w:rsidR="00310096" w:rsidRDefault="00000000">
      <w:pPr>
        <w:pStyle w:val="Corpsdetexte"/>
        <w:spacing w:before="181"/>
      </w:pPr>
      <w:r>
        <w:rPr>
          <w:noProof/>
        </w:rPr>
        <w:lastRenderedPageBreak/>
        <mc:AlternateContent>
          <mc:Choice Requires="wps">
            <w:drawing>
              <wp:anchor distT="0" distB="0" distL="0" distR="0" simplePos="0" relativeHeight="15744512" behindDoc="0" locked="0" layoutInCell="1" allowOverlap="1" wp14:anchorId="338ABE9E" wp14:editId="6CBF8F1C">
                <wp:simplePos x="0" y="0"/>
                <wp:positionH relativeFrom="page">
                  <wp:posOffset>270575</wp:posOffset>
                </wp:positionH>
                <wp:positionV relativeFrom="page">
                  <wp:posOffset>1114363</wp:posOffset>
                </wp:positionV>
                <wp:extent cx="146050" cy="92100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5592678"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4512" type="#_x0000_t202" id="docshape61"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15E19F6C" w14:textId="77777777" w:rsidR="00310096" w:rsidRDefault="00000000">
      <w:pPr>
        <w:pStyle w:val="Corpsdetexte"/>
        <w:ind w:left="165" w:right="158"/>
        <w:jc w:val="both"/>
      </w:pPr>
      <w:r>
        <w:t>consommateurs à haute valeur sociale. En effet, les consommateurs suivent très souvent des tendances saisonnières et correspondent à divers articles vestimentaires, chaussures, sacs, lunettes de soleil, montres ou autres bijoux, basés sur des couleurs à la mode, des matériaux, des formes, etc., y compris dans le domaine du sport. L’industrie de la mode, et en particulier les marques les plus rentables sur le plan économique, comme celle de l’opposante, peut naturellement proposer des articles de chaque catégorie sous la même collection. Comme il a été démontré, les collections de l’opposante englobent souvent des chaussures, des bijoux, des verres ou des ornements décoratifs sous sa marque. Par conséquent, en ce qui concerne ces produits, les consommateurs établiront incontestablement une association fondée sur des facteurs tels que la complémentarité esthétique</w:t>
      </w:r>
      <w:r>
        <w:rPr>
          <w:spacing w:val="-1"/>
        </w:rPr>
        <w:t xml:space="preserve"> </w:t>
      </w:r>
      <w:r>
        <w:t>et les extensions naturelles des marques de</w:t>
      </w:r>
      <w:r>
        <w:rPr>
          <w:spacing w:val="-1"/>
        </w:rPr>
        <w:t xml:space="preserve"> </w:t>
      </w:r>
      <w:r>
        <w:t>mode et</w:t>
      </w:r>
      <w:r>
        <w:rPr>
          <w:spacing w:val="-1"/>
        </w:rPr>
        <w:t xml:space="preserve"> </w:t>
      </w:r>
      <w:r>
        <w:t>leur attribueront les</w:t>
      </w:r>
      <w:r>
        <w:rPr>
          <w:spacing w:val="-2"/>
        </w:rPr>
        <w:t xml:space="preserve"> </w:t>
      </w:r>
      <w:r>
        <w:t>qualités de la marque.</w:t>
      </w:r>
    </w:p>
    <w:p w14:paraId="0BADBC91" w14:textId="77777777" w:rsidR="00310096" w:rsidRDefault="00310096">
      <w:pPr>
        <w:pStyle w:val="Corpsdetexte"/>
      </w:pPr>
    </w:p>
    <w:p w14:paraId="2327C159" w14:textId="77777777" w:rsidR="00310096" w:rsidRDefault="00000000">
      <w:pPr>
        <w:pStyle w:val="Corpsdetexte"/>
        <w:ind w:left="165" w:right="158"/>
        <w:jc w:val="both"/>
      </w:pPr>
      <w:r>
        <w:t>À la suite des répercussions médiatiques, la marque «Gucci», associée à ses logos les plus reconnaissables, semble globalement associée aux vêtements et accessoires de haut de gamme, et connue pour certains des produits les plus emblématiques dans l’histoire de la mode. En outre, il a été clairement démontré dans les éléments de preuve présentés que la marque a fabriqué et apposé sur ses logos «GG» une palette beaucoup plus large de produits en dehors de ce secteur, souvent comme une réponse innovante à la réalité du marché et à la réalité sociale. Les éléments de preuve font systématiquement référence à la présence constante du «logo GG» et soulignent que l’opposante a occasionnellement inclus d’autres articles dans son univers «Gucci», y compris des articles non traditionnels: «ces G ont orné les peaux pluviales et la Chine la plus fine et sont apparus sur des paniers piquniques et des chandeliers. Vous le lirez, c’est GG-d» (voir ci-dessus à l’annexe 6). Par exemple, la collection d’hiver 2008/2009 incorpore des sacs de voyage, des sacs à bandoulière, des petits articles de maroquinerie et des étuis pour ordinateurs. Elle a également lancé un petit talisman dédié aux Olympiques de Beijing (Chine) et a répondu à</w:t>
      </w:r>
      <w:r>
        <w:rPr>
          <w:spacing w:val="40"/>
        </w:rPr>
        <w:t xml:space="preserve"> </w:t>
      </w:r>
      <w:r>
        <w:t xml:space="preserve">la demande des utilisateurs en créant un étui de transport pour l’accessoire </w:t>
      </w:r>
      <w:r>
        <w:rPr>
          <w:rFonts w:ascii="Arial" w:hAnsi="Arial"/>
          <w:i/>
        </w:rPr>
        <w:t>technologique du</w:t>
      </w:r>
      <w:r>
        <w:t>jour (accessoires de la journée), un étui pour le jeu Xbox, les fragrances Gucci ont également été développés et marqués du logo «GG». En outre, le texte rappelle clairement la contribution de la marque à la scène mondiale de la mode en faisant référence à des bijoux et des créations ornementales innovantes:</w:t>
      </w:r>
    </w:p>
    <w:p w14:paraId="47312F6D" w14:textId="77777777" w:rsidR="00310096" w:rsidRDefault="00310096">
      <w:pPr>
        <w:pStyle w:val="Corpsdetexte"/>
      </w:pPr>
    </w:p>
    <w:p w14:paraId="44F53600" w14:textId="77777777" w:rsidR="00310096" w:rsidRDefault="00000000">
      <w:pPr>
        <w:pStyle w:val="Corpsdetexte"/>
        <w:ind w:left="731" w:right="723"/>
        <w:jc w:val="both"/>
      </w:pPr>
      <w:r>
        <w:t>bracelets rigides — qui imitent la forme et la couleur d’une selle de selles = et fabriquait le horsebit, l’ongles de farrier, et horssoir le centreembout d’une</w:t>
      </w:r>
      <w:r>
        <w:rPr>
          <w:spacing w:val="40"/>
        </w:rPr>
        <w:t xml:space="preserve"> </w:t>
      </w:r>
      <w:r>
        <w:t>grande variété de bagues, de bracelets et de boutons de manchette. Un autre symbole de maison, la poignée de bambou commune aux sacs à main, a été reproduit pour la première fois en 1971 dans un bracelet d’or circulaire. L’approche de Gucci suppose que la bijouterie n’est pas simplement décorative, mais indique également qu’elle appartient à l’univers Gucci — pour des équestres ainsi que pour ceux qui jouissent de la voile.</w:t>
      </w:r>
    </w:p>
    <w:p w14:paraId="0E2569D5" w14:textId="77777777" w:rsidR="00310096" w:rsidRDefault="00310096">
      <w:pPr>
        <w:pStyle w:val="Corpsdetexte"/>
        <w:spacing w:before="1"/>
      </w:pPr>
    </w:p>
    <w:p w14:paraId="4C59BCF6" w14:textId="77777777" w:rsidR="00310096" w:rsidRDefault="00000000">
      <w:pPr>
        <w:pStyle w:val="Corpsdetexte"/>
        <w:ind w:left="165" w:right="157"/>
        <w:jc w:val="both"/>
      </w:pPr>
      <w:r>
        <w:t>En outre, la marque n’est pas seulement associée à la création de coups innovants dans l’industrie de l’habillement, mais aussi à son dévouement à l’expérimentation d’une variété de matériaux, de formes et de fonctionnalités des pièces créées («pigpellicule brinded</w:t>
      </w:r>
      <w:r>
        <w:rPr>
          <w:rFonts w:ascii="Arial" w:hAnsi="Arial"/>
          <w:i/>
        </w:rPr>
        <w:t xml:space="preserve">, </w:t>
      </w:r>
      <w:r>
        <w:t>soft cuocuoio</w:t>
      </w:r>
      <w:r>
        <w:rPr>
          <w:spacing w:val="-2"/>
        </w:rPr>
        <w:t xml:space="preserve"> </w:t>
      </w:r>
      <w:r>
        <w:t>Grasso</w:t>
      </w:r>
      <w:r>
        <w:rPr>
          <w:spacing w:val="-2"/>
        </w:rPr>
        <w:t xml:space="preserve"> </w:t>
      </w:r>
      <w:r>
        <w:t>calf, canevas,</w:t>
      </w:r>
      <w:r>
        <w:rPr>
          <w:spacing w:val="-1"/>
        </w:rPr>
        <w:t xml:space="preserve"> </w:t>
      </w:r>
      <w:r>
        <w:t>ostrich</w:t>
      </w:r>
      <w:r>
        <w:rPr>
          <w:spacing w:val="-2"/>
        </w:rPr>
        <w:t xml:space="preserve"> </w:t>
      </w:r>
      <w:r>
        <w:t>et</w:t>
      </w:r>
      <w:r>
        <w:rPr>
          <w:spacing w:val="-3"/>
        </w:rPr>
        <w:t xml:space="preserve"> </w:t>
      </w:r>
      <w:r>
        <w:t>finest reptile»)</w:t>
      </w:r>
      <w:r>
        <w:rPr>
          <w:spacing w:val="-1"/>
        </w:rPr>
        <w:t xml:space="preserve"> </w:t>
      </w:r>
      <w:r>
        <w:t>et</w:t>
      </w:r>
      <w:r>
        <w:rPr>
          <w:spacing w:val="-1"/>
        </w:rPr>
        <w:t xml:space="preserve"> </w:t>
      </w:r>
      <w:r>
        <w:t>à</w:t>
      </w:r>
      <w:r>
        <w:rPr>
          <w:spacing w:val="-2"/>
        </w:rPr>
        <w:t xml:space="preserve"> </w:t>
      </w:r>
      <w:r>
        <w:t>proposer</w:t>
      </w:r>
      <w:r>
        <w:rPr>
          <w:spacing w:val="-3"/>
        </w:rPr>
        <w:t xml:space="preserve"> </w:t>
      </w:r>
      <w:r>
        <w:t>sur</w:t>
      </w:r>
      <w:r>
        <w:rPr>
          <w:spacing w:val="-1"/>
        </w:rPr>
        <w:t xml:space="preserve"> </w:t>
      </w:r>
      <w:r>
        <w:t>la</w:t>
      </w:r>
      <w:r>
        <w:rPr>
          <w:spacing w:val="-2"/>
        </w:rPr>
        <w:t xml:space="preserve"> </w:t>
      </w:r>
      <w:r>
        <w:t>scène</w:t>
      </w:r>
      <w:r>
        <w:rPr>
          <w:spacing w:val="-2"/>
        </w:rPr>
        <w:t xml:space="preserve"> </w:t>
      </w:r>
      <w:r>
        <w:t>mondiale son répertoire de motifs dans tous les domaines possibles où son style personnel peut être exprimé. Enfin, au cours de son histoire, Gucci a collaboré avec d’autres marques de luxe, de sport et de style de vie puissants. Ces informations peuvent être tirées des éléments de preuve brièvement décrits ci-dessus. Il convient de noter que, bien que la renommée de Gucci concerne le secteur de la mode, le développement de la marque s’est étendu sur l’ensemble de son marché naturel et a pénétré dans d’autres marchés dont le caractère est plus éloigné. Par conséquent, les clients de la marque — le grand public et divers consommateurs</w:t>
      </w:r>
      <w:r>
        <w:rPr>
          <w:spacing w:val="74"/>
        </w:rPr>
        <w:t xml:space="preserve"> </w:t>
      </w:r>
      <w:r>
        <w:t>professionnels</w:t>
      </w:r>
      <w:r>
        <w:rPr>
          <w:spacing w:val="74"/>
        </w:rPr>
        <w:t xml:space="preserve"> </w:t>
      </w:r>
      <w:r>
        <w:t>qui</w:t>
      </w:r>
      <w:r>
        <w:rPr>
          <w:spacing w:val="73"/>
        </w:rPr>
        <w:t xml:space="preserve"> </w:t>
      </w:r>
      <w:r>
        <w:t>ont</w:t>
      </w:r>
      <w:r>
        <w:rPr>
          <w:spacing w:val="73"/>
        </w:rPr>
        <w:t xml:space="preserve"> </w:t>
      </w:r>
      <w:r>
        <w:t>été</w:t>
      </w:r>
      <w:r>
        <w:rPr>
          <w:spacing w:val="72"/>
        </w:rPr>
        <w:t xml:space="preserve"> </w:t>
      </w:r>
      <w:r>
        <w:t>exposés</w:t>
      </w:r>
      <w:r>
        <w:rPr>
          <w:spacing w:val="74"/>
        </w:rPr>
        <w:t xml:space="preserve"> </w:t>
      </w:r>
      <w:r>
        <w:t>à</w:t>
      </w:r>
      <w:r>
        <w:rPr>
          <w:spacing w:val="74"/>
        </w:rPr>
        <w:t xml:space="preserve"> </w:t>
      </w:r>
      <w:r>
        <w:t>cette</w:t>
      </w:r>
      <w:r>
        <w:rPr>
          <w:spacing w:val="71"/>
        </w:rPr>
        <w:t xml:space="preserve"> </w:t>
      </w:r>
      <w:r>
        <w:t>diversification</w:t>
      </w:r>
      <w:r>
        <w:rPr>
          <w:spacing w:val="80"/>
        </w:rPr>
        <w:t xml:space="preserve"> </w:t>
      </w:r>
      <w:r>
        <w:t>—</w:t>
      </w:r>
      <w:r>
        <w:rPr>
          <w:spacing w:val="74"/>
        </w:rPr>
        <w:t xml:space="preserve"> </w:t>
      </w:r>
      <w:r>
        <w:t>peuvent</w:t>
      </w:r>
    </w:p>
    <w:p w14:paraId="29B30621" w14:textId="77777777" w:rsidR="00310096" w:rsidRDefault="00310096">
      <w:pPr>
        <w:pStyle w:val="Corpsdetexte"/>
        <w:jc w:val="both"/>
        <w:sectPr w:rsidR="00310096">
          <w:pgSz w:w="11910" w:h="16840"/>
          <w:pgMar w:top="1000" w:right="1275" w:bottom="280" w:left="1275" w:header="727" w:footer="0" w:gutter="0"/>
          <w:cols w:space="720"/>
        </w:sectPr>
      </w:pPr>
    </w:p>
    <w:p w14:paraId="53FEF4E2" w14:textId="77777777" w:rsidR="00310096" w:rsidRDefault="00000000">
      <w:pPr>
        <w:pStyle w:val="Corpsdetexte"/>
        <w:spacing w:before="181"/>
      </w:pPr>
      <w:r>
        <w:rPr>
          <w:noProof/>
        </w:rPr>
        <w:lastRenderedPageBreak/>
        <mc:AlternateContent>
          <mc:Choice Requires="wps">
            <w:drawing>
              <wp:anchor distT="0" distB="0" distL="0" distR="0" simplePos="0" relativeHeight="15745024" behindDoc="0" locked="0" layoutInCell="1" allowOverlap="1" wp14:anchorId="0BE20B9A" wp14:editId="79E3D21B">
                <wp:simplePos x="0" y="0"/>
                <wp:positionH relativeFrom="page">
                  <wp:posOffset>270575</wp:posOffset>
                </wp:positionH>
                <wp:positionV relativeFrom="page">
                  <wp:posOffset>1114363</wp:posOffset>
                </wp:positionV>
                <wp:extent cx="146050" cy="92100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DBB3D45"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5024" type="#_x0000_t202" id="docshape62"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77055438" w14:textId="77777777" w:rsidR="00310096" w:rsidRDefault="00000000">
      <w:pPr>
        <w:pStyle w:val="Corpsdetexte"/>
        <w:ind w:left="165" w:right="158"/>
        <w:jc w:val="both"/>
      </w:pPr>
      <w:r>
        <w:t>facilement établir une association avec le logo renommé de Gucci lorsqu’ils sont confrontés au signe dont l’enregistrement est demandé dans un domaine commercial différent.</w:t>
      </w:r>
    </w:p>
    <w:p w14:paraId="227CEB8C" w14:textId="77777777" w:rsidR="00310096" w:rsidRDefault="00310096">
      <w:pPr>
        <w:pStyle w:val="Corpsdetexte"/>
      </w:pPr>
    </w:p>
    <w:p w14:paraId="2D650F6F" w14:textId="77777777" w:rsidR="00310096" w:rsidRDefault="00000000">
      <w:pPr>
        <w:pStyle w:val="Corpsdetexte"/>
        <w:ind w:left="165" w:right="157"/>
        <w:jc w:val="both"/>
      </w:pPr>
      <w:r>
        <w:t>Par conséquent, le consommateur pertinent des</w:t>
      </w:r>
      <w:r>
        <w:rPr>
          <w:spacing w:val="-2"/>
        </w:rPr>
        <w:t xml:space="preserve"> </w:t>
      </w:r>
      <w:r>
        <w:t xml:space="preserve">produits contestés restants compris dans la classe 14 (métaux précieux, alliages et pierres précieuses) et dans la classe 18 (principalement le cuir, l’imitation du cuir, les peaux d’animaux), même s’il s’agit d’un public professionnel, peut être bien conscient de la tendance susmentionnée sur le marché. Par conséquent, en voyant la marque contestée sur ces produits, la marque antérieure serait évoquée, en raison de sa grande renommée et de sa grande similitude avec le signe </w:t>
      </w:r>
      <w:r>
        <w:rPr>
          <w:spacing w:val="-2"/>
        </w:rPr>
        <w:t>contesté.</w:t>
      </w:r>
    </w:p>
    <w:p w14:paraId="190DEA4C" w14:textId="77777777" w:rsidR="00310096" w:rsidRDefault="00000000">
      <w:pPr>
        <w:pStyle w:val="Corpsdetexte"/>
        <w:spacing w:before="252"/>
        <w:ind w:left="165" w:right="160"/>
        <w:jc w:val="both"/>
      </w:pPr>
      <w:r>
        <w:t>Parexemple, compte tenu du contexte et de l’histoire de l’opposante, en particulier de son artisanat dans l’industrie du cuir et de la conception de produits artisanaux (l’activité de l’opposante a commencé en tant que boutique de cuir haut de gamme), il existe un lien naturel entre l’origine de la marque antérieure et les produits de la demanderesse appartenant à</w:t>
      </w:r>
      <w:r>
        <w:rPr>
          <w:spacing w:val="-2"/>
        </w:rPr>
        <w:t xml:space="preserve"> </w:t>
      </w:r>
      <w:r>
        <w:t>cette</w:t>
      </w:r>
      <w:r>
        <w:rPr>
          <w:spacing w:val="-4"/>
        </w:rPr>
        <w:t xml:space="preserve"> </w:t>
      </w:r>
      <w:r>
        <w:t>même</w:t>
      </w:r>
      <w:r>
        <w:rPr>
          <w:spacing w:val="-2"/>
        </w:rPr>
        <w:t xml:space="preserve"> </w:t>
      </w:r>
      <w:r>
        <w:t>industrie.</w:t>
      </w:r>
      <w:r>
        <w:rPr>
          <w:spacing w:val="-1"/>
        </w:rPr>
        <w:t xml:space="preserve"> </w:t>
      </w:r>
      <w:r>
        <w:t>Les</w:t>
      </w:r>
      <w:r>
        <w:rPr>
          <w:spacing w:val="-4"/>
        </w:rPr>
        <w:t xml:space="preserve"> </w:t>
      </w:r>
      <w:r>
        <w:t>matériaux</w:t>
      </w:r>
      <w:r>
        <w:rPr>
          <w:spacing w:val="-4"/>
        </w:rPr>
        <w:t xml:space="preserve"> </w:t>
      </w:r>
      <w:r>
        <w:t>utilisés</w:t>
      </w:r>
      <w:r>
        <w:rPr>
          <w:spacing w:val="-2"/>
        </w:rPr>
        <w:t xml:space="preserve"> </w:t>
      </w:r>
      <w:r>
        <w:t>par</w:t>
      </w:r>
      <w:r>
        <w:rPr>
          <w:spacing w:val="-1"/>
        </w:rPr>
        <w:t xml:space="preserve"> </w:t>
      </w:r>
      <w:r>
        <w:t>l’opposante</w:t>
      </w:r>
      <w:r>
        <w:rPr>
          <w:spacing w:val="-2"/>
        </w:rPr>
        <w:t xml:space="preserve"> </w:t>
      </w:r>
      <w:r>
        <w:t>pour</w:t>
      </w:r>
      <w:r>
        <w:rPr>
          <w:spacing w:val="-1"/>
        </w:rPr>
        <w:t xml:space="preserve"> </w:t>
      </w:r>
      <w:r>
        <w:t>ses</w:t>
      </w:r>
      <w:r>
        <w:rPr>
          <w:spacing w:val="-2"/>
        </w:rPr>
        <w:t xml:space="preserve"> </w:t>
      </w:r>
      <w:r>
        <w:t xml:space="preserve">produits sont considérés comme de haute qualité et extravagants (par exemple, utilisation de peaux exotiques telles que crocodile ou ostrich pour la confection de chaussures ou de sacs). En outre, la marque est connue pour sélectionner et traiter consciemment les matériaux sélectionnés de sa propre manière, notamment en apposant les léseurs ou les produits finis avec le logo, comme démontré à l’annexe 6 </w:t>
      </w:r>
      <w:r>
        <w:rPr>
          <w:noProof/>
          <w:spacing w:val="-10"/>
        </w:rPr>
        <w:drawing>
          <wp:inline distT="0" distB="0" distL="0" distR="0" wp14:anchorId="34005ABC" wp14:editId="0CA59AC4">
            <wp:extent cx="1433194" cy="83673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3" cstate="print"/>
                    <a:stretch>
                      <a:fillRect/>
                    </a:stretch>
                  </pic:blipFill>
                  <pic:spPr>
                    <a:xfrm>
                      <a:off x="0" y="0"/>
                      <a:ext cx="1433194" cy="836739"/>
                    </a:xfrm>
                    <a:prstGeom prst="rect">
                      <a:avLst/>
                    </a:prstGeom>
                  </pic:spPr>
                </pic:pic>
              </a:graphicData>
            </a:graphic>
          </wp:inline>
        </w:drawing>
      </w:r>
      <w:r>
        <w:t>. Par conséquent, il existe également une relation de complémentarité entre les produits renommés de l’opposante et les produits contestés compris dans la classe 18, dans la mesure où il peut s’agir de produits semi-finis ou de matières premières de haute classe soigneusement sélectionnés par l’opposante pour la fabrication des produits finis. En effet, compte tenu de l’excellente renommée de Gucci dans ce secteur, il est plausible de conclure que les professionnels qui achètent ces produits seront également familiarisés avec la marque de l’opposante, en raison de l’intérêt sous-jacent pour cette même industrie. Par conséquent,</w:t>
      </w:r>
      <w:r>
        <w:rPr>
          <w:spacing w:val="40"/>
        </w:rPr>
        <w:t xml:space="preserve"> </w:t>
      </w:r>
      <w:r>
        <w:t>un lien sera immédiatement établi.</w:t>
      </w:r>
    </w:p>
    <w:p w14:paraId="45E21856" w14:textId="77777777" w:rsidR="00310096" w:rsidRDefault="00000000">
      <w:pPr>
        <w:pStyle w:val="Corpsdetexte"/>
        <w:spacing w:before="252"/>
        <w:ind w:left="165" w:right="156"/>
        <w:jc w:val="both"/>
      </w:pPr>
      <w:r>
        <w:t>En outre, il a été précisé à plusieurs reprises que la marque de l’opposante a construit sa présence mondiale en tant que symbole de luxe et de glamour contemporains. Les produits Gucci sont manifestement renommés pour leur conception intempérie. En outre, la marque peut être associée à l’utilisation de matériaux onéreux pour la fabrication de ses produits</w:t>
      </w:r>
      <w:r>
        <w:rPr>
          <w:spacing w:val="40"/>
        </w:rPr>
        <w:t xml:space="preserve"> </w:t>
      </w:r>
      <w:r>
        <w:t>[par exemple, serrures dorées ou argentées avec des pierres précieuses incorporées sur</w:t>
      </w:r>
      <w:r>
        <w:rPr>
          <w:spacing w:val="40"/>
        </w:rPr>
        <w:t xml:space="preserve"> </w:t>
      </w:r>
      <w:r>
        <w:t>ses ceintures (boucles), sacs ou chaussures], et il ne peut être exclu qu’un lien puisse être établi entre ces produits finis exclusifs et leurs matières premières ou semi-finis (métaux précieux, leurs alliages et pierres compris dans la classe 14). Il ne peut être exclu que de</w:t>
      </w:r>
      <w:r>
        <w:rPr>
          <w:spacing w:val="40"/>
        </w:rPr>
        <w:t xml:space="preserve"> </w:t>
      </w:r>
      <w:r>
        <w:t>tels produits puissent être perçus par leurs consommateurs (public professionnel) comme des pièces de rechange pour la fabrication des produits Gucci.</w:t>
      </w:r>
    </w:p>
    <w:p w14:paraId="0DCC73F6" w14:textId="77777777" w:rsidR="00310096" w:rsidRDefault="00310096">
      <w:pPr>
        <w:pStyle w:val="Corpsdetexte"/>
        <w:spacing w:before="1"/>
      </w:pPr>
    </w:p>
    <w:p w14:paraId="77895A3D" w14:textId="77777777" w:rsidR="00310096" w:rsidRDefault="00000000">
      <w:pPr>
        <w:pStyle w:val="Corpsdetexte"/>
        <w:spacing w:before="1"/>
        <w:ind w:left="165" w:right="159"/>
        <w:jc w:val="both"/>
      </w:pPr>
      <w:r>
        <w:t>Dès lors, en tenant compte et en mettant en balance tous les facteurs pertinents du cas d’espèce, il y a lieu de conclure que, lorsqu’ils rencontreront la marque contestée, les consommateurs pertinents l’associeront probablement au signe antérieur, c’est-à-dire qu’ils établiront un «lien» mental entre les signes. Toutefois, si un «lien» entre les signes est une condition nécessaire</w:t>
      </w:r>
      <w:r>
        <w:rPr>
          <w:spacing w:val="-2"/>
        </w:rPr>
        <w:t xml:space="preserve"> </w:t>
      </w:r>
      <w:r>
        <w:t>pour apprécier</w:t>
      </w:r>
      <w:r>
        <w:rPr>
          <w:spacing w:val="-1"/>
        </w:rPr>
        <w:t xml:space="preserve"> </w:t>
      </w:r>
      <w:r>
        <w:t>plus avant si</w:t>
      </w:r>
      <w:r>
        <w:rPr>
          <w:spacing w:val="-2"/>
        </w:rPr>
        <w:t xml:space="preserve"> </w:t>
      </w:r>
      <w:r>
        <w:t>un préjudice</w:t>
      </w:r>
      <w:r>
        <w:rPr>
          <w:spacing w:val="-2"/>
        </w:rPr>
        <w:t xml:space="preserve"> </w:t>
      </w:r>
      <w:r>
        <w:t>ou un</w:t>
      </w:r>
      <w:r>
        <w:rPr>
          <w:spacing w:val="-2"/>
        </w:rPr>
        <w:t xml:space="preserve"> </w:t>
      </w:r>
      <w:r>
        <w:t>profit</w:t>
      </w:r>
      <w:r>
        <w:rPr>
          <w:spacing w:val="-3"/>
        </w:rPr>
        <w:t xml:space="preserve"> </w:t>
      </w:r>
      <w:r>
        <w:t>indu est</w:t>
      </w:r>
      <w:r>
        <w:rPr>
          <w:spacing w:val="-1"/>
        </w:rPr>
        <w:t xml:space="preserve"> </w:t>
      </w:r>
      <w:r>
        <w:t>probable, l’existence d’un tel lien ne suffit pas, à elle seule, pour conclure à l’existence éventuelle</w:t>
      </w:r>
      <w:r>
        <w:rPr>
          <w:spacing w:val="40"/>
        </w:rPr>
        <w:t xml:space="preserve"> </w:t>
      </w:r>
      <w:r>
        <w:t>d’une des atteintes visées à l’article 8, paragraphe 5, du RMUE (26/09/2012-, T 301/09, Citigate, EU:T:2012:473, § 96).</w:t>
      </w:r>
    </w:p>
    <w:p w14:paraId="6B57C700" w14:textId="77777777" w:rsidR="00310096" w:rsidRDefault="00310096">
      <w:pPr>
        <w:pStyle w:val="Corpsdetexte"/>
        <w:jc w:val="both"/>
        <w:sectPr w:rsidR="00310096">
          <w:pgSz w:w="11910" w:h="16840"/>
          <w:pgMar w:top="1000" w:right="1275" w:bottom="280" w:left="1275" w:header="727" w:footer="0" w:gutter="0"/>
          <w:cols w:space="720"/>
        </w:sectPr>
      </w:pPr>
    </w:p>
    <w:p w14:paraId="217A3A1F" w14:textId="77777777" w:rsidR="00310096" w:rsidRDefault="00000000">
      <w:pPr>
        <w:pStyle w:val="Corpsdetexte"/>
      </w:pPr>
      <w:r>
        <w:rPr>
          <w:noProof/>
        </w:rPr>
        <w:lastRenderedPageBreak/>
        <mc:AlternateContent>
          <mc:Choice Requires="wps">
            <w:drawing>
              <wp:anchor distT="0" distB="0" distL="0" distR="0" simplePos="0" relativeHeight="15745536" behindDoc="0" locked="0" layoutInCell="1" allowOverlap="1" wp14:anchorId="482F1B15" wp14:editId="522ED237">
                <wp:simplePos x="0" y="0"/>
                <wp:positionH relativeFrom="page">
                  <wp:posOffset>270575</wp:posOffset>
                </wp:positionH>
                <wp:positionV relativeFrom="page">
                  <wp:posOffset>1114363</wp:posOffset>
                </wp:positionV>
                <wp:extent cx="146050" cy="921004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3D404E80"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5536" type="#_x0000_t202" id="docshape63"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6914791F" w14:textId="77777777" w:rsidR="00310096" w:rsidRDefault="00310096">
      <w:pPr>
        <w:pStyle w:val="Corpsdetexte"/>
        <w:spacing w:before="180"/>
      </w:pPr>
    </w:p>
    <w:p w14:paraId="51778D80" w14:textId="77777777" w:rsidR="00310096" w:rsidRDefault="00000000">
      <w:pPr>
        <w:pStyle w:val="Titre2"/>
        <w:numPr>
          <w:ilvl w:val="0"/>
          <w:numId w:val="3"/>
        </w:numPr>
        <w:tabs>
          <w:tab w:val="left" w:pos="435"/>
        </w:tabs>
        <w:spacing w:before="1"/>
        <w:ind w:left="435" w:hanging="270"/>
      </w:pPr>
      <w:r>
        <w:t>risque</w:t>
      </w:r>
      <w:r>
        <w:rPr>
          <w:spacing w:val="-4"/>
        </w:rPr>
        <w:t xml:space="preserve"> </w:t>
      </w:r>
      <w:r>
        <w:t>de</w:t>
      </w:r>
      <w:r>
        <w:rPr>
          <w:spacing w:val="-5"/>
        </w:rPr>
        <w:t xml:space="preserve"> </w:t>
      </w:r>
      <w:r>
        <w:rPr>
          <w:spacing w:val="-2"/>
        </w:rPr>
        <w:t>préjudice</w:t>
      </w:r>
    </w:p>
    <w:p w14:paraId="727C4F46" w14:textId="77777777" w:rsidR="00310096" w:rsidRDefault="00310096">
      <w:pPr>
        <w:pStyle w:val="Corpsdetexte"/>
        <w:rPr>
          <w:rFonts w:ascii="Arial"/>
          <w:b/>
        </w:rPr>
      </w:pPr>
    </w:p>
    <w:p w14:paraId="25FA203A" w14:textId="77777777" w:rsidR="00310096" w:rsidRDefault="00000000">
      <w:pPr>
        <w:pStyle w:val="Corpsdetexte"/>
        <w:ind w:left="165" w:right="159"/>
        <w:jc w:val="both"/>
      </w:pPr>
      <w:r>
        <w:t>L’usage de la marque contestée relèvera de l’article 8, paragraphe</w:t>
      </w:r>
      <w:r>
        <w:rPr>
          <w:spacing w:val="-2"/>
        </w:rPr>
        <w:t xml:space="preserve"> </w:t>
      </w:r>
      <w:r>
        <w:t>5, du RMUE lorsque surgira l’une des situations suivantes:</w:t>
      </w:r>
    </w:p>
    <w:p w14:paraId="07B304D9" w14:textId="77777777" w:rsidR="00310096" w:rsidRDefault="00000000">
      <w:pPr>
        <w:pStyle w:val="Corpsdetexte"/>
        <w:spacing w:before="252"/>
        <w:ind w:left="1125" w:hanging="360"/>
      </w:pPr>
      <w:r>
        <w:t>il</w:t>
      </w:r>
      <w:r>
        <w:rPr>
          <w:spacing w:val="74"/>
        </w:rPr>
        <w:t xml:space="preserve"> </w:t>
      </w:r>
      <w:r>
        <w:t>tire</w:t>
      </w:r>
      <w:r>
        <w:rPr>
          <w:spacing w:val="75"/>
        </w:rPr>
        <w:t xml:space="preserve"> </w:t>
      </w:r>
      <w:r>
        <w:t>indûment</w:t>
      </w:r>
      <w:r>
        <w:rPr>
          <w:spacing w:val="74"/>
        </w:rPr>
        <w:t xml:space="preserve"> </w:t>
      </w:r>
      <w:r>
        <w:t>profit</w:t>
      </w:r>
      <w:r>
        <w:rPr>
          <w:spacing w:val="74"/>
        </w:rPr>
        <w:t xml:space="preserve"> </w:t>
      </w:r>
      <w:r>
        <w:t>du</w:t>
      </w:r>
      <w:r>
        <w:rPr>
          <w:spacing w:val="74"/>
        </w:rPr>
        <w:t xml:space="preserve"> </w:t>
      </w:r>
      <w:r>
        <w:t>caractère</w:t>
      </w:r>
      <w:r>
        <w:rPr>
          <w:spacing w:val="73"/>
        </w:rPr>
        <w:t xml:space="preserve"> </w:t>
      </w:r>
      <w:r>
        <w:t>distinctif</w:t>
      </w:r>
      <w:r>
        <w:rPr>
          <w:spacing w:val="74"/>
        </w:rPr>
        <w:t xml:space="preserve"> </w:t>
      </w:r>
      <w:r>
        <w:t>ou</w:t>
      </w:r>
      <w:r>
        <w:rPr>
          <w:spacing w:val="74"/>
        </w:rPr>
        <w:t xml:space="preserve"> </w:t>
      </w:r>
      <w:r>
        <w:t>de</w:t>
      </w:r>
      <w:r>
        <w:rPr>
          <w:spacing w:val="74"/>
        </w:rPr>
        <w:t xml:space="preserve"> </w:t>
      </w:r>
      <w:r>
        <w:t>la</w:t>
      </w:r>
      <w:r>
        <w:rPr>
          <w:spacing w:val="75"/>
        </w:rPr>
        <w:t xml:space="preserve"> </w:t>
      </w:r>
      <w:r>
        <w:t>renommée</w:t>
      </w:r>
      <w:r>
        <w:rPr>
          <w:spacing w:val="74"/>
        </w:rPr>
        <w:t xml:space="preserve"> </w:t>
      </w:r>
      <w:r>
        <w:t>de</w:t>
      </w:r>
      <w:r>
        <w:rPr>
          <w:spacing w:val="75"/>
        </w:rPr>
        <w:t xml:space="preserve"> </w:t>
      </w:r>
      <w:r>
        <w:t>la</w:t>
      </w:r>
      <w:r>
        <w:rPr>
          <w:spacing w:val="75"/>
        </w:rPr>
        <w:t xml:space="preserve"> </w:t>
      </w:r>
      <w:r>
        <w:t xml:space="preserve">marque </w:t>
      </w:r>
      <w:r>
        <w:rPr>
          <w:spacing w:val="-2"/>
        </w:rPr>
        <w:t>antérieure;</w:t>
      </w:r>
    </w:p>
    <w:p w14:paraId="79CDC003" w14:textId="77777777" w:rsidR="00310096" w:rsidRDefault="00310096">
      <w:pPr>
        <w:pStyle w:val="Corpsdetexte"/>
        <w:spacing w:before="2"/>
      </w:pPr>
    </w:p>
    <w:p w14:paraId="654C225B" w14:textId="77777777" w:rsidR="00310096" w:rsidRDefault="00000000">
      <w:pPr>
        <w:pStyle w:val="Corpsdetexte"/>
        <w:ind w:left="765"/>
      </w:pPr>
      <w:r>
        <w:t>il</w:t>
      </w:r>
      <w:r>
        <w:rPr>
          <w:spacing w:val="-4"/>
        </w:rPr>
        <w:t xml:space="preserve"> </w:t>
      </w:r>
      <w:r>
        <w:t>porte</w:t>
      </w:r>
      <w:r>
        <w:rPr>
          <w:spacing w:val="-3"/>
        </w:rPr>
        <w:t xml:space="preserve"> </w:t>
      </w:r>
      <w:r>
        <w:t>atteinte</w:t>
      </w:r>
      <w:r>
        <w:rPr>
          <w:spacing w:val="-3"/>
        </w:rPr>
        <w:t xml:space="preserve"> </w:t>
      </w:r>
      <w:r>
        <w:t>à</w:t>
      </w:r>
      <w:r>
        <w:rPr>
          <w:spacing w:val="-5"/>
        </w:rPr>
        <w:t xml:space="preserve"> </w:t>
      </w:r>
      <w:r>
        <w:t>la</w:t>
      </w:r>
      <w:r>
        <w:rPr>
          <w:spacing w:val="-3"/>
        </w:rPr>
        <w:t xml:space="preserve"> </w:t>
      </w:r>
      <w:r>
        <w:t>renommée</w:t>
      </w:r>
      <w:r>
        <w:rPr>
          <w:spacing w:val="-5"/>
        </w:rPr>
        <w:t xml:space="preserve"> </w:t>
      </w:r>
      <w:r>
        <w:t>de</w:t>
      </w:r>
      <w:r>
        <w:rPr>
          <w:spacing w:val="-3"/>
        </w:rPr>
        <w:t xml:space="preserve"> </w:t>
      </w:r>
      <w:r>
        <w:t>la</w:t>
      </w:r>
      <w:r>
        <w:rPr>
          <w:spacing w:val="-5"/>
        </w:rPr>
        <w:t xml:space="preserve"> </w:t>
      </w:r>
      <w:r>
        <w:t>marque</w:t>
      </w:r>
      <w:r>
        <w:rPr>
          <w:spacing w:val="-3"/>
        </w:rPr>
        <w:t xml:space="preserve"> </w:t>
      </w:r>
      <w:r>
        <w:rPr>
          <w:spacing w:val="-2"/>
        </w:rPr>
        <w:t>antérieure;</w:t>
      </w:r>
    </w:p>
    <w:p w14:paraId="34CEF339" w14:textId="77777777" w:rsidR="00310096" w:rsidRDefault="00000000">
      <w:pPr>
        <w:pStyle w:val="Corpsdetexte"/>
        <w:spacing w:before="251"/>
        <w:ind w:left="765"/>
      </w:pPr>
      <w:r>
        <w:t>il</w:t>
      </w:r>
      <w:r>
        <w:rPr>
          <w:spacing w:val="-7"/>
        </w:rPr>
        <w:t xml:space="preserve"> </w:t>
      </w:r>
      <w:r>
        <w:t>porte</w:t>
      </w:r>
      <w:r>
        <w:rPr>
          <w:spacing w:val="-5"/>
        </w:rPr>
        <w:t xml:space="preserve"> </w:t>
      </w:r>
      <w:r>
        <w:t>préjudice</w:t>
      </w:r>
      <w:r>
        <w:rPr>
          <w:spacing w:val="-5"/>
        </w:rPr>
        <w:t xml:space="preserve"> </w:t>
      </w:r>
      <w:r>
        <w:t>au</w:t>
      </w:r>
      <w:r>
        <w:rPr>
          <w:spacing w:val="-7"/>
        </w:rPr>
        <w:t xml:space="preserve"> </w:t>
      </w:r>
      <w:r>
        <w:t>caractère</w:t>
      </w:r>
      <w:r>
        <w:rPr>
          <w:spacing w:val="-6"/>
        </w:rPr>
        <w:t xml:space="preserve"> </w:t>
      </w:r>
      <w:r>
        <w:t>distinctif</w:t>
      </w:r>
      <w:r>
        <w:rPr>
          <w:spacing w:val="-3"/>
        </w:rPr>
        <w:t xml:space="preserve"> </w:t>
      </w:r>
      <w:r>
        <w:t>de</w:t>
      </w:r>
      <w:r>
        <w:rPr>
          <w:spacing w:val="-7"/>
        </w:rPr>
        <w:t xml:space="preserve"> </w:t>
      </w:r>
      <w:r>
        <w:t>la</w:t>
      </w:r>
      <w:r>
        <w:rPr>
          <w:spacing w:val="-5"/>
        </w:rPr>
        <w:t xml:space="preserve"> </w:t>
      </w:r>
      <w:r>
        <w:t>marque</w:t>
      </w:r>
      <w:r>
        <w:rPr>
          <w:spacing w:val="-4"/>
        </w:rPr>
        <w:t xml:space="preserve"> </w:t>
      </w:r>
      <w:r>
        <w:rPr>
          <w:spacing w:val="-2"/>
        </w:rPr>
        <w:t>antérieure.</w:t>
      </w:r>
    </w:p>
    <w:p w14:paraId="02559658" w14:textId="77777777" w:rsidR="00310096" w:rsidRDefault="00310096">
      <w:pPr>
        <w:pStyle w:val="Corpsdetexte"/>
      </w:pPr>
    </w:p>
    <w:p w14:paraId="28757022" w14:textId="77777777" w:rsidR="00310096" w:rsidRDefault="00000000">
      <w:pPr>
        <w:pStyle w:val="Corpsdetexte"/>
        <w:spacing w:before="1"/>
        <w:ind w:left="165" w:right="156"/>
        <w:jc w:val="both"/>
      </w:pPr>
      <w:r>
        <w:t>Bien que le pr</w:t>
      </w:r>
      <w:r>
        <w:rPr>
          <w:rFonts w:ascii="Cambria Math" w:hAnsi="Cambria Math"/>
        </w:rPr>
        <w:t>é</w:t>
      </w:r>
      <w:r>
        <w:t xml:space="preserve">judice ou le profit indu puisse </w:t>
      </w:r>
      <w:r>
        <w:rPr>
          <w:rFonts w:ascii="Cambria Math" w:hAnsi="Cambria Math"/>
        </w:rPr>
        <w:t>ê</w:t>
      </w:r>
      <w:r>
        <w:t>tre seulement potentiel dans le cadre de la proc</w:t>
      </w:r>
      <w:r>
        <w:rPr>
          <w:rFonts w:ascii="Cambria Math" w:hAnsi="Cambria Math"/>
        </w:rPr>
        <w:t>é</w:t>
      </w:r>
      <w:r>
        <w:t>dure</w:t>
      </w:r>
      <w:r>
        <w:rPr>
          <w:spacing w:val="40"/>
        </w:rPr>
        <w:t xml:space="preserve"> </w:t>
      </w:r>
      <w:r>
        <w:t>d</w:t>
      </w:r>
      <w:r>
        <w:rPr>
          <w:rFonts w:ascii="Cambria Math" w:hAnsi="Cambria Math"/>
        </w:rPr>
        <w:t>’</w:t>
      </w:r>
      <w:r>
        <w:t>opposition,</w:t>
      </w:r>
      <w:r>
        <w:rPr>
          <w:spacing w:val="40"/>
        </w:rPr>
        <w:t xml:space="preserve"> </w:t>
      </w:r>
      <w:r>
        <w:t>une</w:t>
      </w:r>
      <w:r>
        <w:rPr>
          <w:spacing w:val="40"/>
        </w:rPr>
        <w:t xml:space="preserve"> </w:t>
      </w:r>
      <w:r>
        <w:t>simple</w:t>
      </w:r>
      <w:r>
        <w:rPr>
          <w:spacing w:val="40"/>
        </w:rPr>
        <w:t xml:space="preserve"> </w:t>
      </w:r>
      <w:r>
        <w:t>possibilit</w:t>
      </w:r>
      <w:r>
        <w:rPr>
          <w:rFonts w:ascii="Cambria Math" w:hAnsi="Cambria Math"/>
        </w:rPr>
        <w:t>é</w:t>
      </w:r>
      <w:r>
        <w:rPr>
          <w:rFonts w:ascii="Cambria Math" w:hAnsi="Cambria Math"/>
          <w:spacing w:val="40"/>
        </w:rPr>
        <w:t xml:space="preserve"> </w:t>
      </w:r>
      <w:r>
        <w:t>ne</w:t>
      </w:r>
      <w:r>
        <w:rPr>
          <w:spacing w:val="40"/>
        </w:rPr>
        <w:t xml:space="preserve"> </w:t>
      </w:r>
      <w:r>
        <w:t>suffit</w:t>
      </w:r>
      <w:r>
        <w:rPr>
          <w:spacing w:val="40"/>
        </w:rPr>
        <w:t xml:space="preserve"> </w:t>
      </w:r>
      <w:r>
        <w:t>pas</w:t>
      </w:r>
      <w:r>
        <w:rPr>
          <w:spacing w:val="40"/>
        </w:rPr>
        <w:t xml:space="preserve"> </w:t>
      </w:r>
      <w:r>
        <w:rPr>
          <w:rFonts w:ascii="Cambria Math" w:hAnsi="Cambria Math"/>
        </w:rPr>
        <w:t>à</w:t>
      </w:r>
      <w:r>
        <w:rPr>
          <w:rFonts w:ascii="Cambria Math" w:hAnsi="Cambria Math"/>
          <w:spacing w:val="40"/>
        </w:rPr>
        <w:t xml:space="preserve"> </w:t>
      </w:r>
      <w:r>
        <w:t>appliquer</w:t>
      </w:r>
      <w:r>
        <w:rPr>
          <w:spacing w:val="40"/>
        </w:rPr>
        <w:t xml:space="preserve"> </w:t>
      </w:r>
      <w:r>
        <w:t>l</w:t>
      </w:r>
      <w:r>
        <w:rPr>
          <w:rFonts w:ascii="Cambria Math" w:hAnsi="Cambria Math"/>
        </w:rPr>
        <w:t>’</w:t>
      </w:r>
      <w:r>
        <w:t>article</w:t>
      </w:r>
      <w:r>
        <w:rPr>
          <w:spacing w:val="-15"/>
        </w:rPr>
        <w:t xml:space="preserve"> </w:t>
      </w:r>
      <w:r>
        <w:t>8, paragraphe</w:t>
      </w:r>
      <w:r>
        <w:rPr>
          <w:spacing w:val="-15"/>
        </w:rPr>
        <w:t xml:space="preserve"> </w:t>
      </w:r>
      <w:r>
        <w:t>5, du RMUE. Si le titulaire de la marque ant</w:t>
      </w:r>
      <w:r>
        <w:rPr>
          <w:rFonts w:ascii="Cambria Math" w:hAnsi="Cambria Math"/>
        </w:rPr>
        <w:t>é</w:t>
      </w:r>
      <w:r>
        <w:t>rieure n</w:t>
      </w:r>
      <w:r>
        <w:rPr>
          <w:rFonts w:ascii="Cambria Math" w:hAnsi="Cambria Math"/>
        </w:rPr>
        <w:t>’</w:t>
      </w:r>
      <w:r>
        <w:t>est pas tenu de d</w:t>
      </w:r>
      <w:r>
        <w:rPr>
          <w:rFonts w:ascii="Cambria Math" w:hAnsi="Cambria Math"/>
        </w:rPr>
        <w:t>é</w:t>
      </w:r>
      <w:r>
        <w:t>montrer l</w:t>
      </w:r>
      <w:r>
        <w:rPr>
          <w:rFonts w:ascii="Cambria Math" w:hAnsi="Cambria Math"/>
        </w:rPr>
        <w:t>’</w:t>
      </w:r>
      <w:r>
        <w:t>existence d</w:t>
      </w:r>
      <w:r>
        <w:rPr>
          <w:rFonts w:ascii="Cambria Math" w:hAnsi="Cambria Math"/>
        </w:rPr>
        <w:t>’</w:t>
      </w:r>
      <w:r>
        <w:t xml:space="preserve">une atteinte effective et actuelle </w:t>
      </w:r>
      <w:r>
        <w:rPr>
          <w:rFonts w:ascii="Cambria Math" w:hAnsi="Cambria Math"/>
        </w:rPr>
        <w:t xml:space="preserve">à </w:t>
      </w:r>
      <w:r>
        <w:t xml:space="preserve">sa marque, il doit </w:t>
      </w:r>
      <w:r>
        <w:rPr>
          <w:rFonts w:ascii="Cambria Math" w:hAnsi="Cambria Math"/>
        </w:rPr>
        <w:t>«</w:t>
      </w:r>
      <w:r>
        <w:t xml:space="preserve">apporter des </w:t>
      </w:r>
      <w:r>
        <w:rPr>
          <w:rFonts w:ascii="Cambria Math" w:hAnsi="Cambria Math"/>
        </w:rPr>
        <w:t>é</w:t>
      </w:r>
      <w:r>
        <w:t>l</w:t>
      </w:r>
      <w:r>
        <w:rPr>
          <w:rFonts w:ascii="Cambria Math" w:hAnsi="Cambria Math"/>
        </w:rPr>
        <w:t>é</w:t>
      </w:r>
      <w:r>
        <w:t xml:space="preserve">ments permettant de conclure prima facie </w:t>
      </w:r>
      <w:r>
        <w:rPr>
          <w:rFonts w:ascii="Cambria Math" w:hAnsi="Cambria Math"/>
        </w:rPr>
        <w:t xml:space="preserve">à </w:t>
      </w:r>
      <w:r>
        <w:t>un risque futur non hypoth</w:t>
      </w:r>
      <w:r>
        <w:rPr>
          <w:rFonts w:ascii="Cambria Math" w:hAnsi="Cambria Math"/>
        </w:rPr>
        <w:t>é</w:t>
      </w:r>
      <w:r>
        <w:t>tique de profit indu ou de pr</w:t>
      </w:r>
      <w:r>
        <w:rPr>
          <w:rFonts w:ascii="Cambria Math" w:hAnsi="Cambria Math"/>
        </w:rPr>
        <w:t>é</w:t>
      </w:r>
      <w:r>
        <w:t>judice</w:t>
      </w:r>
      <w:r>
        <w:rPr>
          <w:rFonts w:ascii="Cambria Math" w:hAnsi="Cambria Math"/>
        </w:rPr>
        <w:t xml:space="preserve">» </w:t>
      </w:r>
      <w:r>
        <w:t xml:space="preserve">(06/07/2012, T-60/10, ROYAL SHAKESPEARE/RSC- ROYAL SHAKESPEARE COMPANY et al., EU:T:2012:348, </w:t>
      </w:r>
      <w:r>
        <w:rPr>
          <w:rFonts w:ascii="Cambria Math" w:hAnsi="Cambria Math"/>
        </w:rPr>
        <w:t xml:space="preserve">§ </w:t>
      </w:r>
      <w:r>
        <w:t>53).</w:t>
      </w:r>
    </w:p>
    <w:p w14:paraId="3C5B8ABE" w14:textId="77777777" w:rsidR="00310096" w:rsidRDefault="00310096">
      <w:pPr>
        <w:pStyle w:val="Corpsdetexte"/>
        <w:spacing w:before="1"/>
      </w:pPr>
    </w:p>
    <w:p w14:paraId="1EE662F5" w14:textId="77777777" w:rsidR="00310096" w:rsidRDefault="00000000">
      <w:pPr>
        <w:pStyle w:val="Corpsdetexte"/>
        <w:ind w:left="165" w:right="161"/>
        <w:jc w:val="both"/>
      </w:pPr>
      <w:r>
        <w:t>Il s’ensuit que l’opposante doit établir qu’un préjudice ou un profit indu est probable, dans la mesure où il est prévisible dans le cours normal des événements. À cette fin, l’opposante devrait produire des éléments de preuve — ou à tout le moins avancer un ensemble cohérent d’arguments étayant en quoi consiste le préjudice ou le profit indu et la manière dont il se produirait — qui permettraient de conclure prima facie qu’un tel événement est en effet susceptible de se produire dans le cours normal des événements.</w:t>
      </w:r>
    </w:p>
    <w:p w14:paraId="076F12DF" w14:textId="77777777" w:rsidR="00310096" w:rsidRDefault="00310096">
      <w:pPr>
        <w:pStyle w:val="Corpsdetexte"/>
      </w:pPr>
    </w:p>
    <w:p w14:paraId="4B339B86" w14:textId="77777777" w:rsidR="00310096" w:rsidRDefault="00000000">
      <w:pPr>
        <w:pStyle w:val="Corpsdetexte"/>
        <w:spacing w:before="1"/>
        <w:ind w:left="165"/>
        <w:jc w:val="both"/>
      </w:pPr>
      <w:r>
        <w:t>L’opposante</w:t>
      </w:r>
      <w:r>
        <w:rPr>
          <w:spacing w:val="-9"/>
        </w:rPr>
        <w:t xml:space="preserve"> </w:t>
      </w:r>
      <w:r>
        <w:t>fait</w:t>
      </w:r>
      <w:r>
        <w:rPr>
          <w:spacing w:val="-4"/>
        </w:rPr>
        <w:t xml:space="preserve"> </w:t>
      </w:r>
      <w:r>
        <w:t>valoir</w:t>
      </w:r>
      <w:r>
        <w:rPr>
          <w:spacing w:val="-6"/>
        </w:rPr>
        <w:t xml:space="preserve"> </w:t>
      </w:r>
      <w:r>
        <w:t>les</w:t>
      </w:r>
      <w:r>
        <w:rPr>
          <w:spacing w:val="-6"/>
        </w:rPr>
        <w:t xml:space="preserve"> </w:t>
      </w:r>
      <w:r>
        <w:t>arguments</w:t>
      </w:r>
      <w:r>
        <w:rPr>
          <w:spacing w:val="-5"/>
        </w:rPr>
        <w:t xml:space="preserve"> </w:t>
      </w:r>
      <w:r>
        <w:rPr>
          <w:spacing w:val="-2"/>
        </w:rPr>
        <w:t>suivants:</w:t>
      </w:r>
    </w:p>
    <w:p w14:paraId="15E24B75" w14:textId="77777777" w:rsidR="00310096" w:rsidRDefault="00310096">
      <w:pPr>
        <w:pStyle w:val="Corpsdetexte"/>
      </w:pPr>
    </w:p>
    <w:p w14:paraId="257590F0" w14:textId="77777777" w:rsidR="00310096" w:rsidRDefault="00000000">
      <w:pPr>
        <w:pStyle w:val="Corpsdetexte"/>
        <w:ind w:left="165" w:right="161"/>
        <w:jc w:val="both"/>
      </w:pPr>
      <w:r>
        <w:t>«L’usage</w:t>
      </w:r>
      <w:r>
        <w:rPr>
          <w:spacing w:val="-3"/>
        </w:rPr>
        <w:t xml:space="preserve"> </w:t>
      </w:r>
      <w:r>
        <w:t>du</w:t>
      </w:r>
      <w:r>
        <w:rPr>
          <w:spacing w:val="-3"/>
        </w:rPr>
        <w:t xml:space="preserve"> </w:t>
      </w:r>
      <w:r>
        <w:t>signe</w:t>
      </w:r>
      <w:r>
        <w:rPr>
          <w:spacing w:val="-3"/>
        </w:rPr>
        <w:t xml:space="preserve"> </w:t>
      </w:r>
      <w:r>
        <w:t>demandé</w:t>
      </w:r>
      <w:r>
        <w:rPr>
          <w:spacing w:val="-3"/>
        </w:rPr>
        <w:t xml:space="preserve"> </w:t>
      </w:r>
      <w:r>
        <w:t>tirerait</w:t>
      </w:r>
      <w:r>
        <w:rPr>
          <w:spacing w:val="-1"/>
        </w:rPr>
        <w:t xml:space="preserve"> </w:t>
      </w:r>
      <w:r>
        <w:t>indubitablement</w:t>
      </w:r>
      <w:r>
        <w:rPr>
          <w:spacing w:val="-1"/>
        </w:rPr>
        <w:t xml:space="preserve"> </w:t>
      </w:r>
      <w:r>
        <w:t>indûment</w:t>
      </w:r>
      <w:r>
        <w:rPr>
          <w:spacing w:val="-2"/>
        </w:rPr>
        <w:t xml:space="preserve"> </w:t>
      </w:r>
      <w:r>
        <w:t>profit</w:t>
      </w:r>
      <w:r>
        <w:rPr>
          <w:spacing w:val="-1"/>
        </w:rPr>
        <w:t xml:space="preserve"> </w:t>
      </w:r>
      <w:r>
        <w:t>du</w:t>
      </w:r>
      <w:r>
        <w:rPr>
          <w:spacing w:val="-3"/>
        </w:rPr>
        <w:t xml:space="preserve"> </w:t>
      </w:r>
      <w:r>
        <w:t>caractère</w:t>
      </w:r>
      <w:r>
        <w:rPr>
          <w:spacing w:val="-3"/>
        </w:rPr>
        <w:t xml:space="preserve"> </w:t>
      </w:r>
      <w:r>
        <w:t>distinctif</w:t>
      </w:r>
      <w:r>
        <w:rPr>
          <w:spacing w:val="-1"/>
        </w:rPr>
        <w:t xml:space="preserve"> </w:t>
      </w:r>
      <w:r>
        <w:t>ou de</w:t>
      </w:r>
      <w:r>
        <w:rPr>
          <w:spacing w:val="-2"/>
        </w:rPr>
        <w:t xml:space="preserve"> </w:t>
      </w:r>
      <w:r>
        <w:t>la</w:t>
      </w:r>
      <w:r>
        <w:rPr>
          <w:spacing w:val="-2"/>
        </w:rPr>
        <w:t xml:space="preserve"> </w:t>
      </w:r>
      <w:r>
        <w:t>renommée</w:t>
      </w:r>
      <w:r>
        <w:rPr>
          <w:spacing w:val="-4"/>
        </w:rPr>
        <w:t xml:space="preserve"> </w:t>
      </w:r>
      <w:r>
        <w:t>des</w:t>
      </w:r>
      <w:r>
        <w:rPr>
          <w:spacing w:val="-4"/>
        </w:rPr>
        <w:t xml:space="preserve"> </w:t>
      </w:r>
      <w:r>
        <w:t>marques</w:t>
      </w:r>
      <w:r>
        <w:rPr>
          <w:spacing w:val="-4"/>
        </w:rPr>
        <w:t xml:space="preserve"> </w:t>
      </w:r>
      <w:r>
        <w:t>antérieures</w:t>
      </w:r>
      <w:r>
        <w:rPr>
          <w:spacing w:val="-4"/>
        </w:rPr>
        <w:t xml:space="preserve"> </w:t>
      </w:r>
      <w:r>
        <w:t>ou</w:t>
      </w:r>
      <w:r>
        <w:rPr>
          <w:spacing w:val="-2"/>
        </w:rPr>
        <w:t xml:space="preserve"> </w:t>
      </w:r>
      <w:r>
        <w:t>leur</w:t>
      </w:r>
      <w:r>
        <w:rPr>
          <w:spacing w:val="-5"/>
        </w:rPr>
        <w:t xml:space="preserve"> </w:t>
      </w:r>
      <w:r>
        <w:t>porterait préjudice</w:t>
      </w:r>
      <w:r>
        <w:rPr>
          <w:spacing w:val="-4"/>
        </w:rPr>
        <w:t xml:space="preserve"> </w:t>
      </w:r>
      <w:r>
        <w:t>et</w:t>
      </w:r>
      <w:r>
        <w:rPr>
          <w:spacing w:val="-3"/>
        </w:rPr>
        <w:t xml:space="preserve"> </w:t>
      </w:r>
      <w:r>
        <w:t>un</w:t>
      </w:r>
      <w:r>
        <w:rPr>
          <w:spacing w:val="-4"/>
        </w:rPr>
        <w:t xml:space="preserve"> </w:t>
      </w:r>
      <w:r>
        <w:t>tel</w:t>
      </w:r>
      <w:r>
        <w:rPr>
          <w:spacing w:val="-3"/>
        </w:rPr>
        <w:t xml:space="preserve"> </w:t>
      </w:r>
      <w:r>
        <w:t>usage</w:t>
      </w:r>
      <w:r>
        <w:rPr>
          <w:spacing w:val="-4"/>
        </w:rPr>
        <w:t xml:space="preserve"> </w:t>
      </w:r>
      <w:r>
        <w:t>est sans juste motif» (voir p. 23 des observations de l’opposante).</w:t>
      </w:r>
    </w:p>
    <w:p w14:paraId="2A45FAF7" w14:textId="77777777" w:rsidR="00310096" w:rsidRDefault="00000000">
      <w:pPr>
        <w:pStyle w:val="Corpsdetexte"/>
        <w:spacing w:before="252"/>
        <w:ind w:left="165"/>
        <w:jc w:val="both"/>
      </w:pPr>
      <w:r>
        <w:t>Elle</w:t>
      </w:r>
      <w:r>
        <w:rPr>
          <w:spacing w:val="-5"/>
        </w:rPr>
        <w:t xml:space="preserve"> </w:t>
      </w:r>
      <w:r>
        <w:t>fait</w:t>
      </w:r>
      <w:r>
        <w:rPr>
          <w:spacing w:val="-5"/>
        </w:rPr>
        <w:t xml:space="preserve"> </w:t>
      </w:r>
      <w:r>
        <w:t>également</w:t>
      </w:r>
      <w:r>
        <w:rPr>
          <w:spacing w:val="-3"/>
        </w:rPr>
        <w:t xml:space="preserve"> </w:t>
      </w:r>
      <w:r>
        <w:t>valoir</w:t>
      </w:r>
      <w:r>
        <w:rPr>
          <w:spacing w:val="-3"/>
        </w:rPr>
        <w:t xml:space="preserve"> </w:t>
      </w:r>
      <w:r>
        <w:t>ce</w:t>
      </w:r>
      <w:r>
        <w:rPr>
          <w:spacing w:val="-6"/>
        </w:rPr>
        <w:t xml:space="preserve"> </w:t>
      </w:r>
      <w:r>
        <w:t>qui</w:t>
      </w:r>
      <w:r>
        <w:rPr>
          <w:spacing w:val="-7"/>
        </w:rPr>
        <w:t xml:space="preserve"> </w:t>
      </w:r>
      <w:r>
        <w:rPr>
          <w:spacing w:val="-4"/>
        </w:rPr>
        <w:t>suit:</w:t>
      </w:r>
    </w:p>
    <w:p w14:paraId="59B99CE9" w14:textId="77777777" w:rsidR="00310096" w:rsidRDefault="00310096">
      <w:pPr>
        <w:pStyle w:val="Corpsdetexte"/>
      </w:pPr>
    </w:p>
    <w:p w14:paraId="40C585EA" w14:textId="77777777" w:rsidR="00310096" w:rsidRDefault="00000000">
      <w:pPr>
        <w:pStyle w:val="Corpsdetexte"/>
        <w:ind w:left="731" w:right="731"/>
        <w:jc w:val="both"/>
      </w:pPr>
      <w:r>
        <w:t>[P] arly, l’opposante</w:t>
      </w:r>
      <w:r>
        <w:rPr>
          <w:spacing w:val="-1"/>
        </w:rPr>
        <w:t xml:space="preserve"> </w:t>
      </w:r>
      <w:r>
        <w:t>craint sérieusement</w:t>
      </w:r>
      <w:r>
        <w:rPr>
          <w:spacing w:val="-1"/>
        </w:rPr>
        <w:t xml:space="preserve"> </w:t>
      </w:r>
      <w:r>
        <w:t>que la</w:t>
      </w:r>
      <w:r>
        <w:rPr>
          <w:spacing w:val="-1"/>
        </w:rPr>
        <w:t xml:space="preserve"> </w:t>
      </w:r>
      <w:r>
        <w:t>requérante</w:t>
      </w:r>
      <w:r>
        <w:rPr>
          <w:spacing w:val="-1"/>
        </w:rPr>
        <w:t xml:space="preserve"> </w:t>
      </w:r>
      <w:r>
        <w:t>puisse se livrer à</w:t>
      </w:r>
      <w:r>
        <w:rPr>
          <w:spacing w:val="-1"/>
        </w:rPr>
        <w:t xml:space="preserve"> </w:t>
      </w:r>
      <w:r>
        <w:t>une utilisation illégitime, répréhensible et commerciale du logo contesté, qui porterait une atteinte substantielle à la renommée de l’opposante et ternirait ses marques antérieures GG en associant sa marque de luxe à une gamme de produits bas de gamme.</w:t>
      </w:r>
    </w:p>
    <w:p w14:paraId="74AF31BB" w14:textId="77777777" w:rsidR="00310096" w:rsidRDefault="00310096">
      <w:pPr>
        <w:pStyle w:val="Corpsdetexte"/>
        <w:spacing w:before="1"/>
      </w:pPr>
    </w:p>
    <w:p w14:paraId="0013B6F8" w14:textId="77777777" w:rsidR="00310096" w:rsidRDefault="00000000">
      <w:pPr>
        <w:pStyle w:val="Corpsdetexte"/>
        <w:spacing w:before="1"/>
        <w:ind w:left="731" w:right="723"/>
        <w:jc w:val="both"/>
      </w:pPr>
      <w:r>
        <w:t>En effet, ce qui porterait préjudice à l’image de la marque de l’opposante, c’est l’usage d’une marque qui rappelle sa propre marque et qui est appliquée à des produits caractérisés, selon la perception du public, comme ayant une origine industrielle, tandis que les produits de maroquinerie et les articles de mode haut de gamme sont traditionnellement associés à l’artisanat et à l’artisanat. Un tel usage d’une marque pratiquement identique à une marque que le public est arrivé à percevoir comme synonyme de produits raffinés d’excellente fabrication pour des produits de moindre qualité de tous types diminuera son attrait, c’est-à- dire</w:t>
      </w:r>
      <w:r>
        <w:rPr>
          <w:spacing w:val="-3"/>
        </w:rPr>
        <w:t xml:space="preserve"> </w:t>
      </w:r>
      <w:r>
        <w:t>sa</w:t>
      </w:r>
      <w:r>
        <w:rPr>
          <w:spacing w:val="-2"/>
        </w:rPr>
        <w:t xml:space="preserve"> </w:t>
      </w:r>
      <w:r>
        <w:t>renommée,</w:t>
      </w:r>
      <w:r>
        <w:rPr>
          <w:spacing w:val="-3"/>
        </w:rPr>
        <w:t xml:space="preserve"> </w:t>
      </w:r>
      <w:r>
        <w:t>parmi</w:t>
      </w:r>
      <w:r>
        <w:rPr>
          <w:spacing w:val="-3"/>
        </w:rPr>
        <w:t xml:space="preserve"> </w:t>
      </w:r>
      <w:r>
        <w:t>le</w:t>
      </w:r>
      <w:r>
        <w:rPr>
          <w:spacing w:val="-3"/>
        </w:rPr>
        <w:t xml:space="preserve"> </w:t>
      </w:r>
      <w:r>
        <w:t>public</w:t>
      </w:r>
      <w:r>
        <w:rPr>
          <w:spacing w:val="-2"/>
        </w:rPr>
        <w:t xml:space="preserve"> </w:t>
      </w:r>
      <w:r>
        <w:t>qui</w:t>
      </w:r>
      <w:r>
        <w:rPr>
          <w:spacing w:val="-3"/>
        </w:rPr>
        <w:t xml:space="preserve"> </w:t>
      </w:r>
      <w:r>
        <w:t>connaît</w:t>
      </w:r>
      <w:r>
        <w:rPr>
          <w:spacing w:val="-1"/>
        </w:rPr>
        <w:t xml:space="preserve"> </w:t>
      </w:r>
      <w:r>
        <w:t>et</w:t>
      </w:r>
      <w:r>
        <w:rPr>
          <w:spacing w:val="-3"/>
        </w:rPr>
        <w:t xml:space="preserve"> </w:t>
      </w:r>
      <w:r>
        <w:t>valeurs</w:t>
      </w:r>
      <w:r>
        <w:rPr>
          <w:spacing w:val="-2"/>
        </w:rPr>
        <w:t xml:space="preserve"> </w:t>
      </w:r>
      <w:r>
        <w:t>les</w:t>
      </w:r>
      <w:r>
        <w:rPr>
          <w:spacing w:val="-3"/>
        </w:rPr>
        <w:t xml:space="preserve"> </w:t>
      </w:r>
      <w:r>
        <w:t>marques</w:t>
      </w:r>
      <w:r>
        <w:rPr>
          <w:spacing w:val="-2"/>
        </w:rPr>
        <w:t xml:space="preserve"> </w:t>
      </w:r>
      <w:r>
        <w:t>antérieures (voir, par exemple, décision du 06/10/2011, R 2124/2010-1, paragraphe 30).</w:t>
      </w:r>
    </w:p>
    <w:p w14:paraId="0F5EE817" w14:textId="77777777" w:rsidR="00310096" w:rsidRDefault="00000000">
      <w:pPr>
        <w:spacing w:before="252"/>
        <w:ind w:left="731"/>
      </w:pPr>
      <w:r>
        <w:rPr>
          <w:spacing w:val="-2"/>
        </w:rPr>
        <w:t>[...]</w:t>
      </w:r>
    </w:p>
    <w:p w14:paraId="46FA8356" w14:textId="77777777" w:rsidR="00310096" w:rsidRDefault="00310096">
      <w:pPr>
        <w:sectPr w:rsidR="00310096">
          <w:pgSz w:w="11910" w:h="16840"/>
          <w:pgMar w:top="1000" w:right="1275" w:bottom="280" w:left="1275" w:header="727" w:footer="0" w:gutter="0"/>
          <w:cols w:space="720"/>
        </w:sectPr>
      </w:pPr>
    </w:p>
    <w:p w14:paraId="138D5E98" w14:textId="77777777" w:rsidR="00310096" w:rsidRDefault="00000000">
      <w:pPr>
        <w:pStyle w:val="Corpsdetexte"/>
        <w:spacing w:before="181"/>
      </w:pPr>
      <w:r>
        <w:rPr>
          <w:noProof/>
        </w:rPr>
        <w:lastRenderedPageBreak/>
        <mc:AlternateContent>
          <mc:Choice Requires="wps">
            <w:drawing>
              <wp:anchor distT="0" distB="0" distL="0" distR="0" simplePos="0" relativeHeight="15746048" behindDoc="0" locked="0" layoutInCell="1" allowOverlap="1" wp14:anchorId="69435CCC" wp14:editId="584BEFA0">
                <wp:simplePos x="0" y="0"/>
                <wp:positionH relativeFrom="page">
                  <wp:posOffset>270575</wp:posOffset>
                </wp:positionH>
                <wp:positionV relativeFrom="page">
                  <wp:posOffset>1114363</wp:posOffset>
                </wp:positionV>
                <wp:extent cx="146050" cy="92100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C10E97A"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6048" type="#_x0000_t202" id="docshape64"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3172A125" w14:textId="77777777" w:rsidR="00310096" w:rsidRDefault="00000000">
      <w:pPr>
        <w:pStyle w:val="Corpsdetexte"/>
        <w:spacing w:line="253" w:lineRule="exact"/>
        <w:ind w:left="731"/>
        <w:jc w:val="both"/>
      </w:pPr>
      <w:r>
        <w:t>d’autres</w:t>
      </w:r>
      <w:r>
        <w:rPr>
          <w:spacing w:val="29"/>
        </w:rPr>
        <w:t xml:space="preserve"> </w:t>
      </w:r>
      <w:r>
        <w:t>marques</w:t>
      </w:r>
      <w:r>
        <w:rPr>
          <w:spacing w:val="35"/>
        </w:rPr>
        <w:t xml:space="preserve"> </w:t>
      </w:r>
      <w:r>
        <w:t>de</w:t>
      </w:r>
      <w:r>
        <w:rPr>
          <w:spacing w:val="34"/>
        </w:rPr>
        <w:t xml:space="preserve"> </w:t>
      </w:r>
      <w:r>
        <w:t>la</w:t>
      </w:r>
      <w:r>
        <w:rPr>
          <w:spacing w:val="34"/>
        </w:rPr>
        <w:t xml:space="preserve"> </w:t>
      </w:r>
      <w:r>
        <w:t>demanderesse</w:t>
      </w:r>
      <w:r>
        <w:rPr>
          <w:spacing w:val="34"/>
        </w:rPr>
        <w:t xml:space="preserve"> </w:t>
      </w:r>
      <w:r>
        <w:t>auraient</w:t>
      </w:r>
      <w:r>
        <w:rPr>
          <w:spacing w:val="33"/>
        </w:rPr>
        <w:t xml:space="preserve"> </w:t>
      </w:r>
      <w:r>
        <w:t>pu</w:t>
      </w:r>
      <w:r>
        <w:rPr>
          <w:spacing w:val="34"/>
        </w:rPr>
        <w:t xml:space="preserve"> </w:t>
      </w:r>
      <w:r>
        <w:t>être</w:t>
      </w:r>
      <w:r>
        <w:rPr>
          <w:spacing w:val="32"/>
        </w:rPr>
        <w:t xml:space="preserve"> </w:t>
      </w:r>
      <w:r>
        <w:t>déposées</w:t>
      </w:r>
      <w:r>
        <w:rPr>
          <w:spacing w:val="35"/>
        </w:rPr>
        <w:t xml:space="preserve"> </w:t>
      </w:r>
      <w:r>
        <w:t>en</w:t>
      </w:r>
      <w:r>
        <w:rPr>
          <w:spacing w:val="32"/>
        </w:rPr>
        <w:t xml:space="preserve"> </w:t>
      </w:r>
      <w:r>
        <w:t>tant</w:t>
      </w:r>
      <w:r>
        <w:rPr>
          <w:spacing w:val="33"/>
        </w:rPr>
        <w:t xml:space="preserve"> </w:t>
      </w:r>
      <w:r>
        <w:rPr>
          <w:spacing w:val="-5"/>
        </w:rPr>
        <w:t>qu’</w:t>
      </w:r>
    </w:p>
    <w:p w14:paraId="159CDD90" w14:textId="77777777" w:rsidR="00310096" w:rsidRDefault="00000000">
      <w:pPr>
        <w:pStyle w:val="Corpsdetexte"/>
        <w:spacing w:line="480" w:lineRule="auto"/>
        <w:ind w:left="731" w:right="2286"/>
        <w:jc w:val="both"/>
      </w:pPr>
      <w:r>
        <w:t>«inspirations»</w:t>
      </w:r>
      <w:r>
        <w:rPr>
          <w:spacing w:val="-4"/>
        </w:rPr>
        <w:t xml:space="preserve"> </w:t>
      </w:r>
      <w:r>
        <w:t>plus</w:t>
      </w:r>
      <w:r>
        <w:rPr>
          <w:spacing w:val="-4"/>
        </w:rPr>
        <w:t xml:space="preserve"> </w:t>
      </w:r>
      <w:r>
        <w:t>ou</w:t>
      </w:r>
      <w:r>
        <w:rPr>
          <w:spacing w:val="-6"/>
        </w:rPr>
        <w:t xml:space="preserve"> </w:t>
      </w:r>
      <w:r>
        <w:t>moins</w:t>
      </w:r>
      <w:r>
        <w:rPr>
          <w:spacing w:val="-4"/>
        </w:rPr>
        <w:t xml:space="preserve"> </w:t>
      </w:r>
      <w:r>
        <w:t>proches</w:t>
      </w:r>
      <w:r>
        <w:rPr>
          <w:spacing w:val="-6"/>
        </w:rPr>
        <w:t xml:space="preserve"> </w:t>
      </w:r>
      <w:r>
        <w:t>d’autres</w:t>
      </w:r>
      <w:r>
        <w:rPr>
          <w:spacing w:val="-6"/>
        </w:rPr>
        <w:t xml:space="preserve"> </w:t>
      </w:r>
      <w:r>
        <w:t>marques</w:t>
      </w:r>
      <w:r>
        <w:rPr>
          <w:spacing w:val="-3"/>
        </w:rPr>
        <w:t xml:space="preserve"> </w:t>
      </w:r>
      <w:r>
        <w:t xml:space="preserve">célèbres. </w:t>
      </w:r>
      <w:r>
        <w:rPr>
          <w:spacing w:val="-2"/>
        </w:rPr>
        <w:t>[...]</w:t>
      </w:r>
    </w:p>
    <w:p w14:paraId="3DEC9DFA" w14:textId="77777777" w:rsidR="00310096" w:rsidRDefault="00000000">
      <w:pPr>
        <w:pStyle w:val="Corpsdetexte"/>
        <w:spacing w:before="1"/>
        <w:ind w:left="731" w:right="731"/>
        <w:jc w:val="both"/>
      </w:pPr>
      <w:r>
        <w:t>Provenant d’opérateurs du même secteur (industrie de la bijouterie, de la mode et de la maroquinerie), le fait que la demanderesse adopte des logos d’une importance</w:t>
      </w:r>
      <w:r>
        <w:rPr>
          <w:spacing w:val="-3"/>
        </w:rPr>
        <w:t xml:space="preserve"> </w:t>
      </w:r>
      <w:r>
        <w:t>telle</w:t>
      </w:r>
      <w:r>
        <w:rPr>
          <w:spacing w:val="-1"/>
        </w:rPr>
        <w:t xml:space="preserve"> </w:t>
      </w:r>
      <w:r>
        <w:t>que</w:t>
      </w:r>
      <w:r>
        <w:rPr>
          <w:spacing w:val="-3"/>
        </w:rPr>
        <w:t xml:space="preserve"> </w:t>
      </w:r>
      <w:r>
        <w:t>celle</w:t>
      </w:r>
      <w:r>
        <w:rPr>
          <w:spacing w:val="-1"/>
        </w:rPr>
        <w:t xml:space="preserve"> </w:t>
      </w:r>
      <w:r>
        <w:t>de</w:t>
      </w:r>
      <w:r>
        <w:rPr>
          <w:spacing w:val="-1"/>
        </w:rPr>
        <w:t xml:space="preserve"> </w:t>
      </w:r>
      <w:r>
        <w:t>l’opposante</w:t>
      </w:r>
      <w:r>
        <w:rPr>
          <w:spacing w:val="-3"/>
        </w:rPr>
        <w:t xml:space="preserve"> </w:t>
      </w:r>
      <w:r>
        <w:t>ne</w:t>
      </w:r>
      <w:r>
        <w:rPr>
          <w:spacing w:val="-1"/>
        </w:rPr>
        <w:t xml:space="preserve"> </w:t>
      </w:r>
      <w:r>
        <w:t>saurait être</w:t>
      </w:r>
      <w:r>
        <w:rPr>
          <w:spacing w:val="-1"/>
        </w:rPr>
        <w:t xml:space="preserve"> </w:t>
      </w:r>
      <w:r>
        <w:t>une</w:t>
      </w:r>
      <w:r>
        <w:rPr>
          <w:spacing w:val="-3"/>
        </w:rPr>
        <w:t xml:space="preserve"> </w:t>
      </w:r>
      <w:r>
        <w:t>simple</w:t>
      </w:r>
      <w:r>
        <w:rPr>
          <w:spacing w:val="-3"/>
        </w:rPr>
        <w:t xml:space="preserve"> </w:t>
      </w:r>
      <w:r>
        <w:t>coïncidence.</w:t>
      </w:r>
    </w:p>
    <w:p w14:paraId="3975504B" w14:textId="77777777" w:rsidR="00310096" w:rsidRDefault="00310096">
      <w:pPr>
        <w:pStyle w:val="Corpsdetexte"/>
      </w:pPr>
    </w:p>
    <w:p w14:paraId="64962A3B" w14:textId="77777777" w:rsidR="00310096" w:rsidRDefault="00000000">
      <w:pPr>
        <w:spacing w:before="1"/>
        <w:ind w:left="731"/>
      </w:pPr>
      <w:r>
        <w:rPr>
          <w:spacing w:val="-2"/>
        </w:rPr>
        <w:t>[...]</w:t>
      </w:r>
    </w:p>
    <w:p w14:paraId="6FDF033B" w14:textId="77777777" w:rsidR="00310096" w:rsidRDefault="00000000">
      <w:pPr>
        <w:pStyle w:val="Corpsdetexte"/>
        <w:spacing w:before="251"/>
        <w:ind w:left="731" w:right="730"/>
        <w:jc w:val="both"/>
      </w:pPr>
      <w:r>
        <w:t>Enfin, il convient de tenir compte à la fois de la renommée de l’opposante et de ses marques antérieures, et ce d’autant plus qu’il existe de sérieux soupçons quant à la mauvaise foi réelle de la requérante.</w:t>
      </w:r>
    </w:p>
    <w:p w14:paraId="598BDA8E" w14:textId="77777777" w:rsidR="00310096" w:rsidRDefault="00310096">
      <w:pPr>
        <w:pStyle w:val="Corpsdetexte"/>
        <w:spacing w:before="1"/>
      </w:pPr>
    </w:p>
    <w:p w14:paraId="654C579E" w14:textId="77777777" w:rsidR="00310096" w:rsidRDefault="00000000">
      <w:pPr>
        <w:pStyle w:val="Corpsdetexte"/>
        <w:ind w:left="165" w:right="162"/>
        <w:jc w:val="both"/>
      </w:pPr>
      <w:r>
        <w:t>En d’autres termes, l’opposante prétend que l’usage de la marque contestée tirerait indûment profit du caractère distinctif ou de la renommée de la marque antérieure et</w:t>
      </w:r>
      <w:r>
        <w:rPr>
          <w:spacing w:val="40"/>
        </w:rPr>
        <w:t xml:space="preserve"> </w:t>
      </w:r>
      <w:r>
        <w:t>porterait préjudice au caractère distinctif et à la renommée de la marque antérieure.</w:t>
      </w:r>
    </w:p>
    <w:p w14:paraId="3CCA4707" w14:textId="77777777" w:rsidR="00310096" w:rsidRDefault="00310096">
      <w:pPr>
        <w:pStyle w:val="Corpsdetexte"/>
        <w:spacing w:before="1"/>
      </w:pPr>
    </w:p>
    <w:p w14:paraId="3713B055" w14:textId="77777777" w:rsidR="00310096" w:rsidRDefault="00000000">
      <w:pPr>
        <w:pStyle w:val="Titre2"/>
        <w:jc w:val="both"/>
      </w:pPr>
      <w:r>
        <w:t>Profit</w:t>
      </w:r>
      <w:r>
        <w:rPr>
          <w:spacing w:val="-4"/>
        </w:rPr>
        <w:t xml:space="preserve"> </w:t>
      </w:r>
      <w:r>
        <w:t>indu</w:t>
      </w:r>
      <w:r>
        <w:rPr>
          <w:spacing w:val="-4"/>
        </w:rPr>
        <w:t xml:space="preserve"> </w:t>
      </w:r>
      <w:r>
        <w:rPr>
          <w:spacing w:val="-2"/>
        </w:rPr>
        <w:t>(parasitisme)</w:t>
      </w:r>
    </w:p>
    <w:p w14:paraId="09609016" w14:textId="77777777" w:rsidR="00310096" w:rsidRDefault="00310096">
      <w:pPr>
        <w:pStyle w:val="Corpsdetexte"/>
        <w:rPr>
          <w:rFonts w:ascii="Arial"/>
          <w:b/>
        </w:rPr>
      </w:pPr>
    </w:p>
    <w:p w14:paraId="58846259" w14:textId="77777777" w:rsidR="00310096" w:rsidRDefault="00000000">
      <w:pPr>
        <w:pStyle w:val="Corpsdetexte"/>
        <w:ind w:left="165" w:right="157"/>
        <w:jc w:val="both"/>
      </w:pPr>
      <w:r>
        <w:t>Le profit indu au sens de l’article 8, paragraphe 5, du RMUE couvre les cas où il y a exploitation et parasitisme manifestes d’une marque célèbre ou une tentative de tirer profit de</w:t>
      </w:r>
      <w:r>
        <w:rPr>
          <w:spacing w:val="-1"/>
        </w:rPr>
        <w:t xml:space="preserve"> </w:t>
      </w:r>
      <w:r>
        <w:t>sa</w:t>
      </w:r>
      <w:r>
        <w:rPr>
          <w:spacing w:val="-1"/>
        </w:rPr>
        <w:t xml:space="preserve"> </w:t>
      </w:r>
      <w:r>
        <w:t>réputation. En</w:t>
      </w:r>
      <w:r>
        <w:rPr>
          <w:spacing w:val="-1"/>
        </w:rPr>
        <w:t xml:space="preserve"> </w:t>
      </w:r>
      <w:r>
        <w:t>d’autres</w:t>
      </w:r>
      <w:r>
        <w:rPr>
          <w:spacing w:val="-3"/>
        </w:rPr>
        <w:t xml:space="preserve"> </w:t>
      </w:r>
      <w:r>
        <w:t>termes, il</w:t>
      </w:r>
      <w:r>
        <w:rPr>
          <w:spacing w:val="-1"/>
        </w:rPr>
        <w:t xml:space="preserve"> </w:t>
      </w:r>
      <w:r>
        <w:t>existe</w:t>
      </w:r>
      <w:r>
        <w:rPr>
          <w:spacing w:val="-1"/>
        </w:rPr>
        <w:t xml:space="preserve"> </w:t>
      </w:r>
      <w:r>
        <w:t>un</w:t>
      </w:r>
      <w:r>
        <w:rPr>
          <w:spacing w:val="-1"/>
        </w:rPr>
        <w:t xml:space="preserve"> </w:t>
      </w:r>
      <w:r>
        <w:t>risque</w:t>
      </w:r>
      <w:r>
        <w:rPr>
          <w:spacing w:val="-3"/>
        </w:rPr>
        <w:t xml:space="preserve"> </w:t>
      </w:r>
      <w:r>
        <w:t>que</w:t>
      </w:r>
      <w:r>
        <w:rPr>
          <w:spacing w:val="-3"/>
        </w:rPr>
        <w:t xml:space="preserve"> </w:t>
      </w:r>
      <w:r>
        <w:t>l’image</w:t>
      </w:r>
      <w:r>
        <w:rPr>
          <w:spacing w:val="-1"/>
        </w:rPr>
        <w:t xml:space="preserve"> </w:t>
      </w:r>
      <w:r>
        <w:t>de</w:t>
      </w:r>
      <w:r>
        <w:rPr>
          <w:spacing w:val="-1"/>
        </w:rPr>
        <w:t xml:space="preserve"> </w:t>
      </w:r>
      <w:r>
        <w:t>la</w:t>
      </w:r>
      <w:r>
        <w:rPr>
          <w:spacing w:val="-3"/>
        </w:rPr>
        <w:t xml:space="preserve"> </w:t>
      </w:r>
      <w:r>
        <w:t>marque</w:t>
      </w:r>
      <w:r>
        <w:rPr>
          <w:spacing w:val="-1"/>
        </w:rPr>
        <w:t xml:space="preserve"> </w:t>
      </w:r>
      <w:r>
        <w:t>renommée ou les caractéristiques projetées par cette dernière soient transférées aux produits et aux services désignés par la marque contestée, de sorte que leur commercialisation serait facilitée par leur association avec la marque antérieure renommée (06/07/2012,-60/10,</w:t>
      </w:r>
      <w:r>
        <w:rPr>
          <w:spacing w:val="40"/>
        </w:rPr>
        <w:t xml:space="preserve"> </w:t>
      </w:r>
      <w:r>
        <w:t>Royal Shakespeare, EU:T:2012:348, § 48; 22/03/2007, 215/03-, Vips, EU:T:2007:93, § 40).</w:t>
      </w:r>
    </w:p>
    <w:p w14:paraId="69BDDFAC" w14:textId="77777777" w:rsidR="00310096" w:rsidRDefault="00310096">
      <w:pPr>
        <w:pStyle w:val="Corpsdetexte"/>
      </w:pPr>
    </w:p>
    <w:p w14:paraId="343AC68A" w14:textId="77777777" w:rsidR="00310096" w:rsidRDefault="00000000">
      <w:pPr>
        <w:pStyle w:val="Corpsdetexte"/>
        <w:ind w:left="165" w:right="159"/>
        <w:jc w:val="both"/>
      </w:pPr>
      <w:r>
        <w:t>La plupart des arguments de l’opposante se concentrent sur la prétendue ternissure de la marque antérieure. Toutefois, l’opposante revendique également un profit indu et fait valoir, en substance, que la marque antérieure projette l’image d’une marque de luxe, de produits de maroquinerie et de haute qualité, traditionnellement associés à l’artisanat et à l’artisanat, ce qui est imité par une marque similaire prêtant à confusion.</w:t>
      </w:r>
    </w:p>
    <w:p w14:paraId="4DDF7C0A" w14:textId="77777777" w:rsidR="00310096" w:rsidRDefault="00000000">
      <w:pPr>
        <w:pStyle w:val="Corpsdetexte"/>
        <w:spacing w:before="252"/>
        <w:ind w:left="165"/>
        <w:jc w:val="both"/>
      </w:pPr>
      <w:r>
        <w:t>Selon</w:t>
      </w:r>
      <w:r>
        <w:rPr>
          <w:spacing w:val="-4"/>
        </w:rPr>
        <w:t xml:space="preserve"> </w:t>
      </w:r>
      <w:r>
        <w:t>la</w:t>
      </w:r>
      <w:r>
        <w:rPr>
          <w:spacing w:val="-4"/>
        </w:rPr>
        <w:t xml:space="preserve"> </w:t>
      </w:r>
      <w:r>
        <w:t>Cour</w:t>
      </w:r>
      <w:r>
        <w:rPr>
          <w:spacing w:val="-2"/>
        </w:rPr>
        <w:t xml:space="preserve"> </w:t>
      </w:r>
      <w:r>
        <w:t>de</w:t>
      </w:r>
      <w:r>
        <w:rPr>
          <w:spacing w:val="-6"/>
        </w:rPr>
        <w:t xml:space="preserve"> </w:t>
      </w:r>
      <w:r>
        <w:t>justice</w:t>
      </w:r>
      <w:r>
        <w:rPr>
          <w:spacing w:val="-5"/>
        </w:rPr>
        <w:t xml:space="preserve"> </w:t>
      </w:r>
      <w:r>
        <w:t>de</w:t>
      </w:r>
      <w:r>
        <w:rPr>
          <w:spacing w:val="-4"/>
        </w:rPr>
        <w:t xml:space="preserve"> </w:t>
      </w:r>
      <w:r>
        <w:t>L’Union</w:t>
      </w:r>
      <w:r>
        <w:rPr>
          <w:spacing w:val="-3"/>
        </w:rPr>
        <w:t xml:space="preserve"> </w:t>
      </w:r>
      <w:r>
        <w:rPr>
          <w:spacing w:val="-2"/>
        </w:rPr>
        <w:t>européenne</w:t>
      </w:r>
    </w:p>
    <w:p w14:paraId="11A678A8" w14:textId="77777777" w:rsidR="00310096" w:rsidRDefault="00310096">
      <w:pPr>
        <w:pStyle w:val="Corpsdetexte"/>
      </w:pPr>
    </w:p>
    <w:p w14:paraId="3A6F8386" w14:textId="77777777" w:rsidR="00310096" w:rsidRDefault="00000000">
      <w:pPr>
        <w:pStyle w:val="Corpsdetexte"/>
        <w:spacing w:before="1"/>
        <w:ind w:left="765" w:right="723"/>
        <w:jc w:val="both"/>
      </w:pPr>
      <w:r>
        <w:t xml:space="preserve">[...] s’agissant de l’atteinte constituée par le profit indûment tiré du caractère distinctif ou de la renommée de la marque antérieure, dans la mesure où ce qui est prohibé est l’avantage tiré de cette marque par le titulaire de la marque postérieure, l’existence de cette atteinte doit être appréciée eu égard au consommateur moyen des produits ou des services pour lesquels la marque postérieure est enregistrée, normalement informé et raisonnablement attentif et </w:t>
      </w:r>
      <w:r>
        <w:rPr>
          <w:spacing w:val="-2"/>
        </w:rPr>
        <w:t>avisé.</w:t>
      </w:r>
    </w:p>
    <w:p w14:paraId="631571E3" w14:textId="77777777" w:rsidR="00310096" w:rsidRDefault="00000000">
      <w:pPr>
        <w:pStyle w:val="Corpsdetexte"/>
        <w:spacing w:before="253"/>
        <w:ind w:left="165"/>
        <w:jc w:val="both"/>
      </w:pPr>
      <w:r>
        <w:t>(27/11/2008,</w:t>
      </w:r>
      <w:r>
        <w:rPr>
          <w:spacing w:val="-8"/>
        </w:rPr>
        <w:t xml:space="preserve"> </w:t>
      </w:r>
      <w:r>
        <w:t>c-252/07,</w:t>
      </w:r>
      <w:r>
        <w:rPr>
          <w:spacing w:val="-9"/>
        </w:rPr>
        <w:t xml:space="preserve"> </w:t>
      </w:r>
      <w:r>
        <w:t>Intel,</w:t>
      </w:r>
      <w:r>
        <w:rPr>
          <w:spacing w:val="-4"/>
        </w:rPr>
        <w:t xml:space="preserve"> </w:t>
      </w:r>
      <w:r>
        <w:t>EU:C:2008:655,</w:t>
      </w:r>
      <w:r>
        <w:rPr>
          <w:spacing w:val="-4"/>
        </w:rPr>
        <w:t xml:space="preserve"> </w:t>
      </w:r>
      <w:r>
        <w:t>§</w:t>
      </w:r>
      <w:r>
        <w:rPr>
          <w:spacing w:val="-8"/>
        </w:rPr>
        <w:t xml:space="preserve"> </w:t>
      </w:r>
      <w:r>
        <w:rPr>
          <w:spacing w:val="-4"/>
        </w:rPr>
        <w:t>36).</w:t>
      </w:r>
    </w:p>
    <w:p w14:paraId="48BEF2DF" w14:textId="77777777" w:rsidR="00310096" w:rsidRDefault="00310096">
      <w:pPr>
        <w:pStyle w:val="Corpsdetexte"/>
      </w:pPr>
    </w:p>
    <w:p w14:paraId="607833F2" w14:textId="77777777" w:rsidR="00310096" w:rsidRDefault="00000000">
      <w:pPr>
        <w:pStyle w:val="Corpsdetexte"/>
        <w:ind w:left="165" w:right="156"/>
        <w:jc w:val="both"/>
      </w:pPr>
      <w:r>
        <w:t>Bien que les signes en tant que tels ne soient similaires qu’à un faible degré, les monogrammes des signes eux-mêmes présentent certainement un degré élevé de coïncidences visuelles. Plus les marques sont similaires, plus il est vraisemblable que la marque postérieure évoquera, dans l’esprit du public pertinent, la marque antérieure renommée (06/07/2012,-60/10, Royal Shakespeare, EU:T:2012:348, § 26; 27/11/2008,-c 252/07, Intel, EU:C:2008:655, § 44).</w:t>
      </w:r>
    </w:p>
    <w:p w14:paraId="7E6DAA12" w14:textId="77777777" w:rsidR="00310096" w:rsidRDefault="00310096">
      <w:pPr>
        <w:pStyle w:val="Corpsdetexte"/>
        <w:jc w:val="both"/>
        <w:sectPr w:rsidR="00310096">
          <w:pgSz w:w="11910" w:h="16840"/>
          <w:pgMar w:top="1000" w:right="1275" w:bottom="280" w:left="1275" w:header="727" w:footer="0" w:gutter="0"/>
          <w:cols w:space="720"/>
        </w:sectPr>
      </w:pPr>
    </w:p>
    <w:p w14:paraId="5022689A" w14:textId="77777777" w:rsidR="00310096" w:rsidRDefault="00000000">
      <w:pPr>
        <w:pStyle w:val="Corpsdetexte"/>
        <w:spacing w:before="181"/>
      </w:pPr>
      <w:r>
        <w:rPr>
          <w:noProof/>
        </w:rPr>
        <w:lastRenderedPageBreak/>
        <mc:AlternateContent>
          <mc:Choice Requires="wps">
            <w:drawing>
              <wp:anchor distT="0" distB="0" distL="0" distR="0" simplePos="0" relativeHeight="15746560" behindDoc="0" locked="0" layoutInCell="1" allowOverlap="1" wp14:anchorId="7434AE14" wp14:editId="2407371E">
                <wp:simplePos x="0" y="0"/>
                <wp:positionH relativeFrom="page">
                  <wp:posOffset>270575</wp:posOffset>
                </wp:positionH>
                <wp:positionV relativeFrom="page">
                  <wp:posOffset>1114363</wp:posOffset>
                </wp:positionV>
                <wp:extent cx="146050" cy="92100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57C1B0AF"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6560" type="#_x0000_t202" id="docshape65"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5313C3B8" w14:textId="77777777" w:rsidR="00310096" w:rsidRDefault="00000000">
      <w:pPr>
        <w:pStyle w:val="Corpsdetexte"/>
        <w:ind w:left="165" w:right="161"/>
        <w:jc w:val="both"/>
      </w:pPr>
      <w:r>
        <w:t>Comme démontré dans les éléments de preuve, les logos «GG» de l’opposante sont devenus, au cours du siècle dernier, un identifiant de clé emblématique de la société Gucci. Par exemple, une partie du texte de l’annexe 4 est libellée comme suit:</w:t>
      </w:r>
    </w:p>
    <w:p w14:paraId="384859A3" w14:textId="77777777" w:rsidR="00310096" w:rsidRDefault="00310096">
      <w:pPr>
        <w:pStyle w:val="Corpsdetexte"/>
        <w:spacing w:before="1"/>
      </w:pPr>
    </w:p>
    <w:p w14:paraId="4AA39C5A" w14:textId="77777777" w:rsidR="00310096" w:rsidRDefault="00000000">
      <w:pPr>
        <w:pStyle w:val="Corpsdetexte"/>
        <w:ind w:left="731" w:right="728"/>
        <w:jc w:val="both"/>
      </w:pPr>
      <w:r>
        <w:t xml:space="preserve">[R] econfigured et déployée dans des dessins et modèles innombrables et reconstitués, le GG éternal est apparu et réapparu au fil du temps, intégré dans un cercle, doré, inversé. Elle a été réalisée en argent et en or brûlée dans le velours luxueux en cuir, estampillé au suede, imprimé sur des silks, tissés en laques, un patchouvré en crocodile et lizard de luxe. Un symbole de statut qui traverse les cultures, il a acquis une élasticité de sens populaire qui précise ses possibilités d’inclure un glamour élevé et, le moment venu, un sens d’humour </w:t>
      </w:r>
      <w:r>
        <w:rPr>
          <w:spacing w:val="-2"/>
        </w:rPr>
        <w:t>connu.</w:t>
      </w:r>
    </w:p>
    <w:p w14:paraId="01B2163F" w14:textId="77777777" w:rsidR="00310096" w:rsidRDefault="00000000">
      <w:pPr>
        <w:pStyle w:val="Corpsdetexte"/>
        <w:spacing w:before="252"/>
        <w:ind w:left="165" w:right="157"/>
        <w:jc w:val="both"/>
      </w:pPr>
      <w:r>
        <w:t>En outre, plusieurs articles de l’annexe 6 font référence aux différentes versions des monogrammes en tant que logo créatif le plus populaire et le plus reconnu au niveau international. Il a également été précisé dans les autres éléments de preuve que, au fil du temps, la marque a constamment relégué et remanié son logo. Néanmoins, la marque antérieure en question reste l’un des logos fortement associés à l’opposante, y compris au cours des dernières années, lorsqu’un intérêt accru a été démontré pour des produits</w:t>
      </w:r>
      <w:r>
        <w:rPr>
          <w:spacing w:val="40"/>
        </w:rPr>
        <w:t xml:space="preserve"> </w:t>
      </w:r>
      <w:r>
        <w:t>portant des monogrammes qui y sont apposés (références au Logomania, assurance- maladie GucciGram). Par conséquent, cette importance notable dans l’univers de Gucci signifie</w:t>
      </w:r>
      <w:r>
        <w:rPr>
          <w:spacing w:val="-4"/>
        </w:rPr>
        <w:t xml:space="preserve"> </w:t>
      </w:r>
      <w:r>
        <w:t>que</w:t>
      </w:r>
      <w:r>
        <w:rPr>
          <w:spacing w:val="-4"/>
        </w:rPr>
        <w:t xml:space="preserve"> </w:t>
      </w:r>
      <w:r>
        <w:t>ce</w:t>
      </w:r>
      <w:r>
        <w:rPr>
          <w:spacing w:val="-4"/>
        </w:rPr>
        <w:t xml:space="preserve"> </w:t>
      </w:r>
      <w:r>
        <w:t>monogramme</w:t>
      </w:r>
      <w:r>
        <w:rPr>
          <w:spacing w:val="-4"/>
        </w:rPr>
        <w:t xml:space="preserve"> </w:t>
      </w:r>
      <w:r>
        <w:t>a</w:t>
      </w:r>
      <w:r>
        <w:rPr>
          <w:spacing w:val="-2"/>
        </w:rPr>
        <w:t xml:space="preserve"> </w:t>
      </w:r>
      <w:r>
        <w:t>également</w:t>
      </w:r>
      <w:r>
        <w:rPr>
          <w:spacing w:val="-3"/>
        </w:rPr>
        <w:t xml:space="preserve"> </w:t>
      </w:r>
      <w:r>
        <w:t>une</w:t>
      </w:r>
      <w:r>
        <w:rPr>
          <w:spacing w:val="-2"/>
        </w:rPr>
        <w:t xml:space="preserve"> </w:t>
      </w:r>
      <w:r>
        <w:t>valeur</w:t>
      </w:r>
      <w:r>
        <w:rPr>
          <w:spacing w:val="-1"/>
        </w:rPr>
        <w:t xml:space="preserve"> </w:t>
      </w:r>
      <w:r>
        <w:t>exceptionnelle</w:t>
      </w:r>
      <w:r>
        <w:rPr>
          <w:spacing w:val="-2"/>
        </w:rPr>
        <w:t xml:space="preserve"> </w:t>
      </w:r>
      <w:r>
        <w:t>pour</w:t>
      </w:r>
      <w:r>
        <w:rPr>
          <w:spacing w:val="-1"/>
        </w:rPr>
        <w:t xml:space="preserve"> </w:t>
      </w:r>
      <w:r>
        <w:t>le</w:t>
      </w:r>
      <w:r>
        <w:rPr>
          <w:spacing w:val="-2"/>
        </w:rPr>
        <w:t xml:space="preserve"> </w:t>
      </w:r>
      <w:r>
        <w:t>succès</w:t>
      </w:r>
      <w:r>
        <w:rPr>
          <w:spacing w:val="-2"/>
        </w:rPr>
        <w:t xml:space="preserve"> </w:t>
      </w:r>
      <w:r>
        <w:t>passé</w:t>
      </w:r>
      <w:r>
        <w:rPr>
          <w:spacing w:val="-2"/>
        </w:rPr>
        <w:t xml:space="preserve"> </w:t>
      </w:r>
      <w:r>
        <w:t>et futur de la société.</w:t>
      </w:r>
    </w:p>
    <w:p w14:paraId="280C116E" w14:textId="77777777" w:rsidR="00310096" w:rsidRDefault="00310096">
      <w:pPr>
        <w:pStyle w:val="Corpsdetexte"/>
        <w:spacing w:before="1"/>
      </w:pPr>
    </w:p>
    <w:p w14:paraId="720578AF" w14:textId="77777777" w:rsidR="00310096" w:rsidRDefault="00000000">
      <w:pPr>
        <w:pStyle w:val="Corpsdetexte"/>
        <w:spacing w:before="1"/>
        <w:ind w:left="165" w:right="156"/>
        <w:jc w:val="both"/>
      </w:pPr>
      <w:r>
        <w:t>En ce sens, en utilisant un signe «inspiré» du logo renommé de l’opposante, comme</w:t>
      </w:r>
      <w:r>
        <w:rPr>
          <w:spacing w:val="40"/>
        </w:rPr>
        <w:t xml:space="preserve"> </w:t>
      </w:r>
      <w:r>
        <w:t>l’affirme l’opposante, la demanderesse peut effectivement causer un préjudice direct ou indirect à la marque de l’opposante. Comme établi ci-dessus, ainsi que son caractère de renommée, la marque antérieure présente également des caractéristiques indiquant des normes artisanales et de haute qualité, le luxe, l’affluence, le glamour contemporain et l’extravagance. Il est donc concevable que la requérante puisse bénéficier, à terme, d’un transfert de l’image et des qualités de la marque antérieure, telles que décrites précédemment. En effet, lorsqu’ils sont confrontés au signe contesté, les consommateurs, compte tenu du monogramme renommé, peuvent attribuer à tort les mêmes valeurs que celles que leur confère la marque de l’opposante et peuvent être influencés par leur expérience d’achat. En outre, l’association du signe contesté avec le monogramme</w:t>
      </w:r>
      <w:r>
        <w:rPr>
          <w:spacing w:val="40"/>
        </w:rPr>
        <w:t xml:space="preserve"> </w:t>
      </w:r>
      <w:r>
        <w:t>renommé de l’opposante</w:t>
      </w:r>
      <w:r>
        <w:rPr>
          <w:spacing w:val="-2"/>
        </w:rPr>
        <w:t xml:space="preserve"> </w:t>
      </w:r>
      <w:r>
        <w:t>facilitera la commercialisation des produits de la demanderesse, et la demanderesse peut facilement obtenir un «stimulateur» économique sans avoir consenti d’investissements financiers ou d’efforts de marketing. Comme l’opposante le fait remarquer à juste titre, cela constituera un avantage indu pour la demanderesse au dos de la marque de longue date de l’opposante, qui est associée à l’exclusivité et à la haute mode.</w:t>
      </w:r>
    </w:p>
    <w:p w14:paraId="56F3CC9B" w14:textId="77777777" w:rsidR="00310096" w:rsidRDefault="00310096">
      <w:pPr>
        <w:pStyle w:val="Corpsdetexte"/>
      </w:pPr>
    </w:p>
    <w:p w14:paraId="61FD3A09" w14:textId="77777777" w:rsidR="00310096" w:rsidRDefault="00000000">
      <w:pPr>
        <w:pStyle w:val="Corpsdetexte"/>
        <w:ind w:left="165" w:right="158"/>
        <w:jc w:val="both"/>
      </w:pPr>
      <w:r>
        <w:t>En outre, en raison du prestige particulier de la marque antérieure, elle peut être exploitée même en dehors de son secteur de marché naturel, par exemple grâce à la concession de licences ou au</w:t>
      </w:r>
      <w:r>
        <w:rPr>
          <w:spacing w:val="-2"/>
        </w:rPr>
        <w:t xml:space="preserve"> </w:t>
      </w:r>
      <w:r>
        <w:t>merchandising. En</w:t>
      </w:r>
      <w:r>
        <w:rPr>
          <w:spacing w:val="-2"/>
        </w:rPr>
        <w:t xml:space="preserve"> </w:t>
      </w:r>
      <w:r>
        <w:t>l’espèce, si la demanderesse utilise un signe similaire à</w:t>
      </w:r>
      <w:r>
        <w:rPr>
          <w:spacing w:val="-2"/>
        </w:rPr>
        <w:t xml:space="preserve"> </w:t>
      </w:r>
      <w:r>
        <w:t>la marque antérieure pour des produits pour lesquels cette dernière est déjà exploitée, elle profitera manifestement de sa valeur de fait dans ce secteur [16/03/2012, R 1074/2011-5, Twitter (fig.)/TWITTER].</w:t>
      </w:r>
    </w:p>
    <w:p w14:paraId="4AA86268" w14:textId="77777777" w:rsidR="00310096" w:rsidRDefault="00310096">
      <w:pPr>
        <w:pStyle w:val="Corpsdetexte"/>
        <w:spacing w:before="1"/>
      </w:pPr>
    </w:p>
    <w:p w14:paraId="38D40247" w14:textId="77777777" w:rsidR="00310096" w:rsidRDefault="00000000">
      <w:pPr>
        <w:pStyle w:val="Corpsdetexte"/>
        <w:ind w:left="165" w:right="156"/>
        <w:jc w:val="both"/>
      </w:pPr>
      <w:r>
        <w:t>L’objectif de l’article 8, paragraphe</w:t>
      </w:r>
      <w:r>
        <w:rPr>
          <w:spacing w:val="-3"/>
        </w:rPr>
        <w:t xml:space="preserve"> </w:t>
      </w:r>
      <w:r>
        <w:t>5, du RMUE est essentiellement d’étendre la protection aux investissements sous-jacents à une marque couronnée de succès lorsque d’autres acteurs du marché ont l’intention, ou sont susceptibles d’avoir l’intention, d’exploiter la force de cette marque, y compris en créant des imitations de celle-ci qui peuvent être facilement commercialisées dans l’environnement du marché en cause. En effet, compte tenu de la forte similitude des monogrammes des marques, les différences qu’elles présenteraient ne</w:t>
      </w:r>
    </w:p>
    <w:p w14:paraId="3868371C" w14:textId="77777777" w:rsidR="00310096" w:rsidRDefault="00310096">
      <w:pPr>
        <w:pStyle w:val="Corpsdetexte"/>
        <w:jc w:val="both"/>
        <w:sectPr w:rsidR="00310096">
          <w:pgSz w:w="11910" w:h="16840"/>
          <w:pgMar w:top="1000" w:right="1275" w:bottom="280" w:left="1275" w:header="727" w:footer="0" w:gutter="0"/>
          <w:cols w:space="720"/>
        </w:sectPr>
      </w:pPr>
    </w:p>
    <w:p w14:paraId="1116F46F" w14:textId="77777777" w:rsidR="00310096" w:rsidRDefault="00000000">
      <w:pPr>
        <w:pStyle w:val="Corpsdetexte"/>
        <w:spacing w:before="181"/>
      </w:pPr>
      <w:r>
        <w:rPr>
          <w:noProof/>
        </w:rPr>
        <w:lastRenderedPageBreak/>
        <mc:AlternateContent>
          <mc:Choice Requires="wps">
            <w:drawing>
              <wp:anchor distT="0" distB="0" distL="0" distR="0" simplePos="0" relativeHeight="15747584" behindDoc="0" locked="0" layoutInCell="1" allowOverlap="1" wp14:anchorId="43DA4B7F" wp14:editId="288F198F">
                <wp:simplePos x="0" y="0"/>
                <wp:positionH relativeFrom="page">
                  <wp:posOffset>270575</wp:posOffset>
                </wp:positionH>
                <wp:positionV relativeFrom="page">
                  <wp:posOffset>1114363</wp:posOffset>
                </wp:positionV>
                <wp:extent cx="146050" cy="92100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7AB3B038"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7584" type="#_x0000_t202" id="docshape66"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38ABEFD6" w14:textId="77777777" w:rsidR="00310096" w:rsidRDefault="00000000">
      <w:pPr>
        <w:pStyle w:val="Corpsdetexte"/>
        <w:ind w:left="165" w:right="165"/>
        <w:jc w:val="both"/>
      </w:pPr>
      <w:r>
        <w:t>suffisent pas à neutraliser le lien avec le signe renommé de l’opposante malgré l’ajout de l’élément verbal «Olivia Sanchez».</w:t>
      </w:r>
    </w:p>
    <w:p w14:paraId="371CB059" w14:textId="77777777" w:rsidR="00310096" w:rsidRDefault="00310096">
      <w:pPr>
        <w:pStyle w:val="Corpsdetexte"/>
      </w:pPr>
    </w:p>
    <w:p w14:paraId="62A6045F" w14:textId="77777777" w:rsidR="00310096" w:rsidRDefault="00000000">
      <w:pPr>
        <w:pStyle w:val="Corpsdetexte"/>
        <w:ind w:left="165" w:right="162"/>
        <w:jc w:val="both"/>
      </w:pPr>
      <w:r>
        <w:t>Dès lors, la division d’opposition conclut que la marque contestée est susceptible de tirer indûment profit du caractère distinctif ou de la renommée de la marque antérieure.</w:t>
      </w:r>
    </w:p>
    <w:p w14:paraId="160299A4" w14:textId="77777777" w:rsidR="00310096" w:rsidRDefault="00000000">
      <w:pPr>
        <w:pStyle w:val="Titre2"/>
        <w:spacing w:before="252"/>
      </w:pPr>
      <w:r>
        <w:t>Autres</w:t>
      </w:r>
      <w:r>
        <w:rPr>
          <w:spacing w:val="-6"/>
        </w:rPr>
        <w:t xml:space="preserve"> </w:t>
      </w:r>
      <w:r>
        <w:t>types</w:t>
      </w:r>
      <w:r>
        <w:rPr>
          <w:spacing w:val="-5"/>
        </w:rPr>
        <w:t xml:space="preserve"> </w:t>
      </w:r>
      <w:r>
        <w:t>de</w:t>
      </w:r>
      <w:r>
        <w:rPr>
          <w:spacing w:val="-5"/>
        </w:rPr>
        <w:t xml:space="preserve"> </w:t>
      </w:r>
      <w:r>
        <w:rPr>
          <w:spacing w:val="-2"/>
        </w:rPr>
        <w:t>préjudice</w:t>
      </w:r>
    </w:p>
    <w:p w14:paraId="7CCCD5FB" w14:textId="77777777" w:rsidR="00310096" w:rsidRDefault="00310096">
      <w:pPr>
        <w:pStyle w:val="Corpsdetexte"/>
        <w:spacing w:before="1"/>
        <w:rPr>
          <w:rFonts w:ascii="Arial"/>
          <w:b/>
        </w:rPr>
      </w:pPr>
    </w:p>
    <w:p w14:paraId="593A013B" w14:textId="77777777" w:rsidR="00310096" w:rsidRDefault="00000000">
      <w:pPr>
        <w:pStyle w:val="Corpsdetexte"/>
        <w:ind w:left="165" w:right="157"/>
        <w:jc w:val="both"/>
      </w:pPr>
      <w:r>
        <w:t>L’opposante fait également valoir que l’usage de la marque contestée porterait préjudice au caractère distinctif et à la renommée de la marque antérieure.</w:t>
      </w:r>
    </w:p>
    <w:p w14:paraId="214E28CD" w14:textId="77777777" w:rsidR="00310096" w:rsidRDefault="00000000">
      <w:pPr>
        <w:pStyle w:val="Corpsdetexte"/>
        <w:spacing w:before="252"/>
        <w:ind w:left="165" w:right="157"/>
        <w:jc w:val="both"/>
      </w:pPr>
      <w:r>
        <w:t>Comme indiqué ci-dessus, l’existence d’un risque de préjudice est une condition essentielle pour l’application de l’article 8, paragraphe</w:t>
      </w:r>
      <w:r>
        <w:rPr>
          <w:spacing w:val="-3"/>
        </w:rPr>
        <w:t xml:space="preserve"> </w:t>
      </w:r>
      <w:r>
        <w:t>5, du RMUE. Le risque de préjudice peut se présenter sous trois types différents. Pour qu’une opposition soit fondée à cet égard, il suffit que le risque se présente sous l’une de ces formes. En l’espèce, comme indiqué ci-dessus, la division d’opposition a déjà conclu que la marque contestée tirerait indûment profit du caractère distinctif ou de la renommée de la marque antérieure. Il s’ensuit qu’il n’est pas nécessaire d’examiner si les autres formes sont également présentes;</w:t>
      </w:r>
    </w:p>
    <w:p w14:paraId="4E7FF752" w14:textId="77777777" w:rsidR="00310096" w:rsidRDefault="00310096">
      <w:pPr>
        <w:pStyle w:val="Corpsdetexte"/>
      </w:pPr>
    </w:p>
    <w:p w14:paraId="1E3FDD22" w14:textId="77777777" w:rsidR="00310096" w:rsidRDefault="00310096">
      <w:pPr>
        <w:pStyle w:val="Corpsdetexte"/>
        <w:spacing w:before="2"/>
      </w:pPr>
    </w:p>
    <w:p w14:paraId="13131AC0" w14:textId="77777777" w:rsidR="00310096" w:rsidRDefault="00000000">
      <w:pPr>
        <w:pStyle w:val="Titre2"/>
        <w:numPr>
          <w:ilvl w:val="0"/>
          <w:numId w:val="3"/>
        </w:numPr>
        <w:tabs>
          <w:tab w:val="left" w:pos="731"/>
        </w:tabs>
        <w:ind w:left="731" w:hanging="566"/>
      </w:pPr>
      <w:r>
        <w:rPr>
          <w:spacing w:val="-2"/>
        </w:rPr>
        <w:t>Conclusion</w:t>
      </w:r>
    </w:p>
    <w:p w14:paraId="5EF5F078" w14:textId="77777777" w:rsidR="00310096" w:rsidRDefault="00310096">
      <w:pPr>
        <w:pStyle w:val="Corpsdetexte"/>
        <w:rPr>
          <w:rFonts w:ascii="Arial"/>
          <w:b/>
        </w:rPr>
      </w:pPr>
    </w:p>
    <w:p w14:paraId="1C1718B1" w14:textId="77777777" w:rsidR="00310096" w:rsidRDefault="00000000">
      <w:pPr>
        <w:pStyle w:val="Corpsdetexte"/>
        <w:ind w:left="165" w:right="156"/>
        <w:jc w:val="both"/>
      </w:pPr>
      <w:r>
        <w:t>Compte tenu de tout ce qui précède, l’opposition est fondée au sens de l’article 8, paragraphe</w:t>
      </w:r>
      <w:r>
        <w:rPr>
          <w:spacing w:val="-3"/>
        </w:rPr>
        <w:t xml:space="preserve"> </w:t>
      </w:r>
      <w:r>
        <w:t>5, du RMUE. Par conséquent, la marque contestée doit être rejetée pour l’ensemble des produits contestés.</w:t>
      </w:r>
    </w:p>
    <w:p w14:paraId="3D1B03C3" w14:textId="77777777" w:rsidR="00310096" w:rsidRDefault="00310096">
      <w:pPr>
        <w:pStyle w:val="Corpsdetexte"/>
        <w:spacing w:before="1"/>
      </w:pPr>
    </w:p>
    <w:p w14:paraId="506C11ED" w14:textId="77777777" w:rsidR="00310096" w:rsidRDefault="00000000">
      <w:pPr>
        <w:pStyle w:val="Corpsdetexte"/>
        <w:ind w:left="165" w:right="159"/>
        <w:jc w:val="both"/>
      </w:pPr>
      <w:r>
        <w:t>Étant donné que l’opposition est accueillie dans son intégralité au titre de l’article 8, paragraphe</w:t>
      </w:r>
      <w:r>
        <w:rPr>
          <w:spacing w:val="-3"/>
        </w:rPr>
        <w:t xml:space="preserve"> </w:t>
      </w:r>
      <w:r>
        <w:t>5, du RMUE, il n’est pas nécessaire d’examiner le motif restant et le droit antérieur sur lesquels l’opposition était fondée.</w:t>
      </w:r>
    </w:p>
    <w:p w14:paraId="5CF892E1" w14:textId="77777777" w:rsidR="00310096" w:rsidRDefault="00310096">
      <w:pPr>
        <w:pStyle w:val="Corpsdetexte"/>
      </w:pPr>
    </w:p>
    <w:p w14:paraId="47279D27" w14:textId="77777777" w:rsidR="00310096" w:rsidRDefault="00310096">
      <w:pPr>
        <w:pStyle w:val="Corpsdetexte"/>
      </w:pPr>
    </w:p>
    <w:p w14:paraId="55C4ABB8" w14:textId="77777777" w:rsidR="00310096" w:rsidRDefault="00000000">
      <w:pPr>
        <w:pStyle w:val="Titre1"/>
        <w:jc w:val="left"/>
      </w:pPr>
      <w:r>
        <w:rPr>
          <w:spacing w:val="-2"/>
        </w:rPr>
        <w:t>FRAIS</w:t>
      </w:r>
    </w:p>
    <w:p w14:paraId="74FCA7C7" w14:textId="77777777" w:rsidR="00310096" w:rsidRDefault="00000000">
      <w:pPr>
        <w:pStyle w:val="Corpsdetexte"/>
        <w:spacing w:before="251"/>
        <w:ind w:left="165" w:right="161"/>
        <w:jc w:val="both"/>
      </w:pPr>
      <w:r>
        <w:t>Conformément à l’article 109, paragraphe</w:t>
      </w:r>
      <w:r>
        <w:rPr>
          <w:spacing w:val="-2"/>
        </w:rPr>
        <w:t xml:space="preserve"> </w:t>
      </w:r>
      <w:r>
        <w:t>1, du RMUE, la partie perdante dans une procédure d’opposition doit supporter les taxes et frais exposés par l’autre partie.</w:t>
      </w:r>
    </w:p>
    <w:p w14:paraId="1BBD79C0" w14:textId="77777777" w:rsidR="00310096" w:rsidRDefault="00310096">
      <w:pPr>
        <w:pStyle w:val="Corpsdetexte"/>
        <w:spacing w:before="2"/>
      </w:pPr>
    </w:p>
    <w:p w14:paraId="4EF48959" w14:textId="77777777" w:rsidR="00310096" w:rsidRDefault="00000000">
      <w:pPr>
        <w:pStyle w:val="Corpsdetexte"/>
        <w:ind w:left="165" w:right="162"/>
        <w:jc w:val="both"/>
      </w:pPr>
      <w:r>
        <w:t>La demanderesse étant la partie perdante, elle doit supporter la taxe d’opposition ainsi que les frais exposés par l’opposante aux fins de la présente procédure.</w:t>
      </w:r>
    </w:p>
    <w:p w14:paraId="164609EE" w14:textId="77777777" w:rsidR="00310096" w:rsidRDefault="00310096">
      <w:pPr>
        <w:pStyle w:val="Corpsdetexte"/>
      </w:pPr>
    </w:p>
    <w:p w14:paraId="17F7A6D6" w14:textId="77777777" w:rsidR="00310096" w:rsidRDefault="00000000">
      <w:pPr>
        <w:pStyle w:val="Corpsdetexte"/>
        <w:ind w:left="165" w:right="159"/>
        <w:jc w:val="both"/>
      </w:pPr>
      <w:r>
        <w:t>Conformément à l’article</w:t>
      </w:r>
      <w:r>
        <w:rPr>
          <w:spacing w:val="-1"/>
        </w:rPr>
        <w:t xml:space="preserve"> </w:t>
      </w:r>
      <w:r>
        <w:t>109, paragraphe</w:t>
      </w:r>
      <w:r>
        <w:rPr>
          <w:spacing w:val="-4"/>
        </w:rPr>
        <w:t xml:space="preserve"> </w:t>
      </w:r>
      <w:r>
        <w:t>1 et (7) du RMUE et à l’article 18, paragraphe</w:t>
      </w:r>
      <w:r>
        <w:rPr>
          <w:spacing w:val="-1"/>
        </w:rPr>
        <w:t xml:space="preserve"> </w:t>
      </w:r>
      <w:r>
        <w:t>1, point</w:t>
      </w:r>
      <w:r>
        <w:rPr>
          <w:spacing w:val="-1"/>
        </w:rPr>
        <w:t xml:space="preserve"> </w:t>
      </w:r>
      <w:r>
        <w:t>c) i), du REMUE, les frais à payer à l’opposante sont la taxe d’opposition et les</w:t>
      </w:r>
      <w:r>
        <w:rPr>
          <w:spacing w:val="-2"/>
        </w:rPr>
        <w:t xml:space="preserve"> </w:t>
      </w:r>
      <w:r>
        <w:t>frais de représentation, qui sont fixés sur la base du taux maximal qui y est fixé.</w:t>
      </w:r>
    </w:p>
    <w:p w14:paraId="12C81C23" w14:textId="77777777" w:rsidR="00310096" w:rsidRDefault="00000000">
      <w:pPr>
        <w:pStyle w:val="Corpsdetexte"/>
        <w:spacing w:before="9"/>
        <w:rPr>
          <w:sz w:val="19"/>
        </w:rPr>
      </w:pPr>
      <w:r>
        <w:rPr>
          <w:noProof/>
          <w:sz w:val="19"/>
        </w:rPr>
        <w:drawing>
          <wp:anchor distT="0" distB="0" distL="0" distR="0" simplePos="0" relativeHeight="487606272" behindDoc="1" locked="0" layoutInCell="1" allowOverlap="1" wp14:anchorId="14D4554C" wp14:editId="30D90FFD">
            <wp:simplePos x="0" y="0"/>
            <wp:positionH relativeFrom="page">
              <wp:posOffset>3470909</wp:posOffset>
            </wp:positionH>
            <wp:positionV relativeFrom="paragraph">
              <wp:posOffset>160311</wp:posOffset>
            </wp:positionV>
            <wp:extent cx="619876" cy="6286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4" cstate="print"/>
                    <a:stretch>
                      <a:fillRect/>
                    </a:stretch>
                  </pic:blipFill>
                  <pic:spPr>
                    <a:xfrm>
                      <a:off x="0" y="0"/>
                      <a:ext cx="619876" cy="628650"/>
                    </a:xfrm>
                    <a:prstGeom prst="rect">
                      <a:avLst/>
                    </a:prstGeom>
                  </pic:spPr>
                </pic:pic>
              </a:graphicData>
            </a:graphic>
          </wp:anchor>
        </w:drawing>
      </w:r>
    </w:p>
    <w:p w14:paraId="21EC2DA1" w14:textId="77777777" w:rsidR="00310096" w:rsidRDefault="00310096">
      <w:pPr>
        <w:pStyle w:val="Corpsdetexte"/>
      </w:pPr>
    </w:p>
    <w:p w14:paraId="7C9F34D4" w14:textId="77777777" w:rsidR="00310096" w:rsidRDefault="00310096">
      <w:pPr>
        <w:pStyle w:val="Corpsdetexte"/>
        <w:spacing w:before="1"/>
      </w:pPr>
    </w:p>
    <w:p w14:paraId="02BAA3D4" w14:textId="77777777" w:rsidR="00310096" w:rsidRDefault="00000000">
      <w:pPr>
        <w:pStyle w:val="Titre2"/>
        <w:ind w:left="1838" w:right="1837"/>
        <w:jc w:val="center"/>
      </w:pPr>
      <w:r>
        <w:t>De</w:t>
      </w:r>
      <w:r>
        <w:rPr>
          <w:spacing w:val="-3"/>
        </w:rPr>
        <w:t xml:space="preserve"> </w:t>
      </w:r>
      <w:r>
        <w:t>la</w:t>
      </w:r>
      <w:r>
        <w:rPr>
          <w:spacing w:val="-2"/>
        </w:rPr>
        <w:t xml:space="preserve"> </w:t>
      </w:r>
      <w:r>
        <w:t>division</w:t>
      </w:r>
      <w:r>
        <w:rPr>
          <w:spacing w:val="-4"/>
        </w:rPr>
        <w:t xml:space="preserve"> </w:t>
      </w:r>
      <w:r>
        <w:rPr>
          <w:spacing w:val="-2"/>
        </w:rPr>
        <w:t>d’opposition</w:t>
      </w:r>
    </w:p>
    <w:p w14:paraId="4D2BA467" w14:textId="77777777" w:rsidR="00310096" w:rsidRDefault="00310096">
      <w:pPr>
        <w:pStyle w:val="Corpsdetexte"/>
        <w:rPr>
          <w:rFonts w:ascii="Arial"/>
          <w:b/>
          <w:sz w:val="20"/>
        </w:rPr>
      </w:pPr>
    </w:p>
    <w:p w14:paraId="1E4ED997" w14:textId="77777777" w:rsidR="00310096" w:rsidRDefault="00310096">
      <w:pPr>
        <w:pStyle w:val="Corpsdetexte"/>
        <w:spacing w:before="66"/>
        <w:rPr>
          <w:rFonts w:ascii="Arial"/>
          <w:b/>
          <w:sz w:val="20"/>
        </w:rPr>
      </w:pPr>
    </w:p>
    <w:tbl>
      <w:tblPr>
        <w:tblStyle w:val="TableNormal"/>
        <w:tblW w:w="0" w:type="auto"/>
        <w:tblInd w:w="408" w:type="dxa"/>
        <w:tblLayout w:type="fixed"/>
        <w:tblLook w:val="01E0" w:firstRow="1" w:lastRow="1" w:firstColumn="1" w:lastColumn="1" w:noHBand="0" w:noVBand="0"/>
      </w:tblPr>
      <w:tblGrid>
        <w:gridCol w:w="2920"/>
        <w:gridCol w:w="2683"/>
        <w:gridCol w:w="2924"/>
      </w:tblGrid>
      <w:tr w:rsidR="00310096" w14:paraId="1306BAFA" w14:textId="77777777">
        <w:trPr>
          <w:trHeight w:val="500"/>
        </w:trPr>
        <w:tc>
          <w:tcPr>
            <w:tcW w:w="2920" w:type="dxa"/>
          </w:tcPr>
          <w:p w14:paraId="51FE3BFD" w14:textId="77777777" w:rsidR="00310096" w:rsidRDefault="00000000">
            <w:pPr>
              <w:pStyle w:val="TableParagraph"/>
              <w:spacing w:line="247" w:lineRule="exact"/>
              <w:ind w:right="374"/>
              <w:jc w:val="center"/>
            </w:pPr>
            <w:r>
              <w:rPr>
                <w:spacing w:val="-2"/>
              </w:rPr>
              <w:t>Sofía</w:t>
            </w:r>
          </w:p>
          <w:p w14:paraId="2150335A" w14:textId="77777777" w:rsidR="00310096" w:rsidRDefault="00000000">
            <w:pPr>
              <w:pStyle w:val="TableParagraph"/>
              <w:spacing w:before="1" w:line="233" w:lineRule="exact"/>
              <w:ind w:left="1" w:right="374"/>
              <w:jc w:val="center"/>
            </w:pPr>
            <w:r>
              <w:t>SACRISTÁN</w:t>
            </w:r>
            <w:r>
              <w:rPr>
                <w:spacing w:val="-7"/>
              </w:rPr>
              <w:t xml:space="preserve"> </w:t>
            </w:r>
            <w:r>
              <w:rPr>
                <w:spacing w:val="-2"/>
              </w:rPr>
              <w:t>MARTÍNEZ</w:t>
            </w:r>
          </w:p>
        </w:tc>
        <w:tc>
          <w:tcPr>
            <w:tcW w:w="2683" w:type="dxa"/>
          </w:tcPr>
          <w:p w14:paraId="1CCEC064" w14:textId="77777777" w:rsidR="00310096" w:rsidRDefault="00000000">
            <w:pPr>
              <w:pStyle w:val="TableParagraph"/>
              <w:spacing w:before="120"/>
              <w:ind w:left="425"/>
            </w:pPr>
            <w:r>
              <w:t>Manuela</w:t>
            </w:r>
            <w:r>
              <w:rPr>
                <w:spacing w:val="-8"/>
              </w:rPr>
              <w:t xml:space="preserve"> </w:t>
            </w:r>
            <w:r>
              <w:rPr>
                <w:spacing w:val="-2"/>
              </w:rPr>
              <w:t>RUSEVA</w:t>
            </w:r>
          </w:p>
        </w:tc>
        <w:tc>
          <w:tcPr>
            <w:tcW w:w="2924" w:type="dxa"/>
          </w:tcPr>
          <w:p w14:paraId="42B774C0" w14:textId="77777777" w:rsidR="00310096" w:rsidRDefault="00000000">
            <w:pPr>
              <w:pStyle w:val="TableParagraph"/>
              <w:spacing w:before="120"/>
              <w:ind w:left="450"/>
            </w:pPr>
            <w:r>
              <w:t>Michaela</w:t>
            </w:r>
            <w:r>
              <w:rPr>
                <w:spacing w:val="-10"/>
              </w:rPr>
              <w:t xml:space="preserve"> </w:t>
            </w:r>
            <w:r>
              <w:rPr>
                <w:spacing w:val="-2"/>
              </w:rPr>
              <w:t>POLJOVKOVA</w:t>
            </w:r>
          </w:p>
        </w:tc>
      </w:tr>
    </w:tbl>
    <w:p w14:paraId="043FB867" w14:textId="77777777" w:rsidR="00310096" w:rsidRDefault="00310096">
      <w:pPr>
        <w:pStyle w:val="TableParagraph"/>
        <w:sectPr w:rsidR="00310096">
          <w:pgSz w:w="11910" w:h="16840"/>
          <w:pgMar w:top="1000" w:right="1275" w:bottom="280" w:left="1275" w:header="727" w:footer="0" w:gutter="0"/>
          <w:cols w:space="720"/>
        </w:sectPr>
      </w:pPr>
    </w:p>
    <w:p w14:paraId="1B920802" w14:textId="77777777" w:rsidR="00310096" w:rsidRDefault="00000000">
      <w:pPr>
        <w:pStyle w:val="Corpsdetexte"/>
        <w:rPr>
          <w:rFonts w:ascii="Arial"/>
          <w:b/>
        </w:rPr>
      </w:pPr>
      <w:r>
        <w:rPr>
          <w:rFonts w:ascii="Arial"/>
          <w:b/>
          <w:noProof/>
        </w:rPr>
        <w:lastRenderedPageBreak/>
        <mc:AlternateContent>
          <mc:Choice Requires="wps">
            <w:drawing>
              <wp:anchor distT="0" distB="0" distL="0" distR="0" simplePos="0" relativeHeight="15748096" behindDoc="0" locked="0" layoutInCell="1" allowOverlap="1" wp14:anchorId="12472C6A" wp14:editId="4F7F8745">
                <wp:simplePos x="0" y="0"/>
                <wp:positionH relativeFrom="page">
                  <wp:posOffset>270575</wp:posOffset>
                </wp:positionH>
                <wp:positionV relativeFrom="page">
                  <wp:posOffset>1114363</wp:posOffset>
                </wp:positionV>
                <wp:extent cx="146050" cy="92100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9210040"/>
                        </a:xfrm>
                        <a:prstGeom prst="rect">
                          <a:avLst/>
                        </a:prstGeom>
                      </wps:spPr>
                      <wps:txbx>
                        <w:txbxContent>
                          <w:p w14:paraId="6FC9E4E9" w14:textId="77777777" w:rsidR="00310096" w:rsidRDefault="00000000">
                            <w:pPr>
                              <w:spacing w:before="14"/>
                              <w:ind w:left="20"/>
                              <w:rPr>
                                <w:sz w:val="17"/>
                              </w:rPr>
                            </w:pPr>
                            <w:r>
                              <w:rPr>
                                <w:color w:val="3F3F3F"/>
                                <w:sz w:val="17"/>
                              </w:rPr>
                              <w:t>Veuillez</w:t>
                            </w:r>
                            <w:r>
                              <w:rPr>
                                <w:color w:val="3F3F3F"/>
                                <w:spacing w:val="-6"/>
                                <w:sz w:val="17"/>
                              </w:rPr>
                              <w:t xml:space="preserve"> </w:t>
                            </w:r>
                            <w:r>
                              <w:rPr>
                                <w:color w:val="3F3F3F"/>
                                <w:sz w:val="17"/>
                              </w:rPr>
                              <w:t>noter</w:t>
                            </w:r>
                            <w:r>
                              <w:rPr>
                                <w:color w:val="3F3F3F"/>
                                <w:spacing w:val="-5"/>
                                <w:sz w:val="17"/>
                              </w:rPr>
                              <w:t xml:space="preserve"> </w:t>
                            </w:r>
                            <w:r>
                              <w:rPr>
                                <w:color w:val="3F3F3F"/>
                                <w:sz w:val="17"/>
                              </w:rPr>
                              <w:t>qu’il</w:t>
                            </w:r>
                            <w:r>
                              <w:rPr>
                                <w:color w:val="3F3F3F"/>
                                <w:spacing w:val="-6"/>
                                <w:sz w:val="17"/>
                              </w:rPr>
                              <w:t xml:space="preserve"> </w:t>
                            </w:r>
                            <w:r>
                              <w:rPr>
                                <w:color w:val="3F3F3F"/>
                                <w:sz w:val="17"/>
                              </w:rPr>
                              <w:t>s’agit</w:t>
                            </w:r>
                            <w:r>
                              <w:rPr>
                                <w:color w:val="3F3F3F"/>
                                <w:spacing w:val="-5"/>
                                <w:sz w:val="17"/>
                              </w:rPr>
                              <w:t xml:space="preserve"> </w:t>
                            </w:r>
                            <w:r>
                              <w:rPr>
                                <w:color w:val="3F3F3F"/>
                                <w:sz w:val="17"/>
                              </w:rPr>
                              <w:t>d’une</w:t>
                            </w:r>
                            <w:r>
                              <w:rPr>
                                <w:color w:val="3F3F3F"/>
                                <w:spacing w:val="-6"/>
                                <w:sz w:val="17"/>
                              </w:rPr>
                              <w:t xml:space="preserve"> </w:t>
                            </w:r>
                            <w:r>
                              <w:rPr>
                                <w:color w:val="3F3F3F"/>
                                <w:sz w:val="17"/>
                              </w:rPr>
                              <w:t>traduction</w:t>
                            </w:r>
                            <w:r>
                              <w:rPr>
                                <w:color w:val="3F3F3F"/>
                                <w:spacing w:val="-5"/>
                                <w:sz w:val="17"/>
                              </w:rPr>
                              <w:t xml:space="preserve"> </w:t>
                            </w:r>
                            <w:r>
                              <w:rPr>
                                <w:color w:val="3F3F3F"/>
                                <w:sz w:val="17"/>
                              </w:rPr>
                              <w:t>automatique</w:t>
                            </w:r>
                            <w:r>
                              <w:rPr>
                                <w:color w:val="3F3F3F"/>
                                <w:spacing w:val="-6"/>
                                <w:sz w:val="17"/>
                              </w:rPr>
                              <w:t xml:space="preserve"> </w:t>
                            </w:r>
                            <w:r>
                              <w:rPr>
                                <w:color w:val="3F3F3F"/>
                                <w:sz w:val="17"/>
                              </w:rPr>
                              <w:t>fournie</w:t>
                            </w:r>
                            <w:r>
                              <w:rPr>
                                <w:color w:val="3F3F3F"/>
                                <w:spacing w:val="-5"/>
                                <w:sz w:val="17"/>
                              </w:rPr>
                              <w:t xml:space="preserve"> </w:t>
                            </w:r>
                            <w:r>
                              <w:rPr>
                                <w:color w:val="3F3F3F"/>
                                <w:sz w:val="17"/>
                              </w:rPr>
                              <w:t>uniquement</w:t>
                            </w:r>
                            <w:r>
                              <w:rPr>
                                <w:color w:val="3F3F3F"/>
                                <w:spacing w:val="-6"/>
                                <w:sz w:val="17"/>
                              </w:rPr>
                              <w:t xml:space="preserve"> </w:t>
                            </w:r>
                            <w:r>
                              <w:rPr>
                                <w:color w:val="3F3F3F"/>
                                <w:sz w:val="17"/>
                              </w:rPr>
                              <w:t>pour</w:t>
                            </w:r>
                            <w:r>
                              <w:rPr>
                                <w:color w:val="3F3F3F"/>
                                <w:spacing w:val="-5"/>
                                <w:sz w:val="17"/>
                              </w:rPr>
                              <w:t xml:space="preserve"> </w:t>
                            </w:r>
                            <w:r>
                              <w:rPr>
                                <w:color w:val="3F3F3F"/>
                                <w:sz w:val="17"/>
                              </w:rPr>
                              <w:t>information.</w:t>
                            </w:r>
                            <w:r>
                              <w:rPr>
                                <w:color w:val="3F3F3F"/>
                                <w:spacing w:val="-6"/>
                                <w:sz w:val="17"/>
                              </w:rPr>
                              <w:t xml:space="preserve"> </w:t>
                            </w:r>
                            <w:r>
                              <w:rPr>
                                <w:color w:val="3F3F3F"/>
                                <w:sz w:val="17"/>
                              </w:rPr>
                              <w:t>Il</w:t>
                            </w:r>
                            <w:r>
                              <w:rPr>
                                <w:color w:val="3F3F3F"/>
                                <w:spacing w:val="-5"/>
                                <w:sz w:val="17"/>
                              </w:rPr>
                              <w:t xml:space="preserve"> </w:t>
                            </w:r>
                            <w:r>
                              <w:rPr>
                                <w:color w:val="3F3F3F"/>
                                <w:sz w:val="17"/>
                              </w:rPr>
                              <w:t>ne</w:t>
                            </w:r>
                            <w:r>
                              <w:rPr>
                                <w:color w:val="3F3F3F"/>
                                <w:spacing w:val="-6"/>
                                <w:sz w:val="17"/>
                              </w:rPr>
                              <w:t xml:space="preserve"> </w:t>
                            </w:r>
                            <w:r>
                              <w:rPr>
                                <w:color w:val="3F3F3F"/>
                                <w:sz w:val="17"/>
                              </w:rPr>
                              <w:t>peut</w:t>
                            </w:r>
                            <w:r>
                              <w:rPr>
                                <w:color w:val="3F3F3F"/>
                                <w:spacing w:val="-5"/>
                                <w:sz w:val="17"/>
                              </w:rPr>
                              <w:t xml:space="preserve"> </w:t>
                            </w:r>
                            <w:r>
                              <w:rPr>
                                <w:color w:val="3F3F3F"/>
                                <w:sz w:val="17"/>
                              </w:rPr>
                              <w:t>être</w:t>
                            </w:r>
                            <w:r>
                              <w:rPr>
                                <w:color w:val="3F3F3F"/>
                                <w:spacing w:val="-6"/>
                                <w:sz w:val="17"/>
                              </w:rPr>
                              <w:t xml:space="preserve"> </w:t>
                            </w:r>
                            <w:r>
                              <w:rPr>
                                <w:color w:val="3F3F3F"/>
                                <w:sz w:val="17"/>
                              </w:rPr>
                              <w:t>garanti</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exacte</w:t>
                            </w:r>
                            <w:r>
                              <w:rPr>
                                <w:color w:val="3F3F3F"/>
                                <w:spacing w:val="-6"/>
                                <w:sz w:val="17"/>
                              </w:rPr>
                              <w:t xml:space="preserve"> </w:t>
                            </w:r>
                            <w:r>
                              <w:rPr>
                                <w:color w:val="3F3F3F"/>
                                <w:sz w:val="17"/>
                              </w:rPr>
                              <w:t>ou</w:t>
                            </w:r>
                            <w:r>
                              <w:rPr>
                                <w:color w:val="3F3F3F"/>
                                <w:spacing w:val="-5"/>
                                <w:sz w:val="17"/>
                              </w:rPr>
                              <w:t xml:space="preserve"> </w:t>
                            </w:r>
                            <w:r>
                              <w:rPr>
                                <w:color w:val="3F3F3F"/>
                                <w:sz w:val="17"/>
                              </w:rPr>
                              <w:t>qu’elle</w:t>
                            </w:r>
                            <w:r>
                              <w:rPr>
                                <w:color w:val="3F3F3F"/>
                                <w:spacing w:val="-6"/>
                                <w:sz w:val="17"/>
                              </w:rPr>
                              <w:t xml:space="preserve"> </w:t>
                            </w:r>
                            <w:r>
                              <w:rPr>
                                <w:color w:val="3F3F3F"/>
                                <w:sz w:val="17"/>
                              </w:rPr>
                              <w:t>est</w:t>
                            </w:r>
                            <w:r>
                              <w:rPr>
                                <w:color w:val="3F3F3F"/>
                                <w:spacing w:val="-5"/>
                                <w:sz w:val="17"/>
                              </w:rPr>
                              <w:t xml:space="preserve"> </w:t>
                            </w:r>
                            <w:r>
                              <w:rPr>
                                <w:color w:val="3F3F3F"/>
                                <w:sz w:val="17"/>
                              </w:rPr>
                              <w:t>adaptée</w:t>
                            </w:r>
                            <w:r>
                              <w:rPr>
                                <w:color w:val="3F3F3F"/>
                                <w:spacing w:val="-6"/>
                                <w:sz w:val="17"/>
                              </w:rPr>
                              <w:t xml:space="preserve"> </w:t>
                            </w:r>
                            <w:r>
                              <w:rPr>
                                <w:color w:val="3F3F3F"/>
                                <w:sz w:val="17"/>
                              </w:rPr>
                              <w:t>aux</w:t>
                            </w:r>
                            <w:r>
                              <w:rPr>
                                <w:color w:val="3F3F3F"/>
                                <w:spacing w:val="-5"/>
                                <w:sz w:val="17"/>
                              </w:rPr>
                              <w:t xml:space="preserve"> </w:t>
                            </w:r>
                            <w:r>
                              <w:rPr>
                                <w:color w:val="3F3F3F"/>
                                <w:sz w:val="17"/>
                              </w:rPr>
                              <w:t>objectifs</w:t>
                            </w:r>
                            <w:r>
                              <w:rPr>
                                <w:color w:val="3F3F3F"/>
                                <w:spacing w:val="-6"/>
                                <w:sz w:val="17"/>
                              </w:rPr>
                              <w:t xml:space="preserve"> </w:t>
                            </w:r>
                            <w:r>
                              <w:rPr>
                                <w:color w:val="3F3F3F"/>
                                <w:sz w:val="17"/>
                              </w:rPr>
                              <w:t>poursuivis.</w:t>
                            </w:r>
                            <w:r>
                              <w:rPr>
                                <w:color w:val="3F3F3F"/>
                                <w:spacing w:val="-5"/>
                                <w:sz w:val="17"/>
                              </w:rPr>
                              <w:t xml:space="preserve"> </w:t>
                            </w:r>
                            <w:r>
                              <w:rPr>
                                <w:color w:val="3F3F3F"/>
                                <w:sz w:val="17"/>
                              </w:rPr>
                              <w:t>[27-06-</w:t>
                            </w:r>
                            <w:r>
                              <w:rPr>
                                <w:color w:val="3F3F3F"/>
                                <w:spacing w:val="-2"/>
                                <w:sz w:val="17"/>
                              </w:rPr>
                              <w:t>2024]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5176pt;margin-top:87.745193pt;width:11.5pt;height:725.2pt;mso-position-horizontal-relative:page;mso-position-vertical-relative:page;z-index:15748096" type="#_x0000_t202" id="docshape67" filled="false" stroked="false">
                <v:textbox inset="0,0,0,0" style="layout-flow:vertical;mso-layout-flow-alt:bottom-to-top">
                  <w:txbxContent>
                    <w:p>
                      <w:pPr>
                        <w:spacing w:before="14"/>
                        <w:ind w:left="20" w:right="0" w:firstLine="0"/>
                        <w:jc w:val="left"/>
                        <w:rPr>
                          <w:sz w:val="17"/>
                        </w:rPr>
                      </w:pPr>
                      <w:r>
                        <w:rPr>
                          <w:color w:val="3F3F3F"/>
                          <w:sz w:val="17"/>
                        </w:rPr>
                        <w:t>Veuillez</w:t>
                      </w:r>
                      <w:r>
                        <w:rPr>
                          <w:color w:val="3F3F3F"/>
                          <w:spacing w:val="-6"/>
                          <w:sz w:val="17"/>
                        </w:rPr>
                        <w:t> </w:t>
                      </w:r>
                      <w:r>
                        <w:rPr>
                          <w:color w:val="3F3F3F"/>
                          <w:sz w:val="17"/>
                        </w:rPr>
                        <w:t>noter</w:t>
                      </w:r>
                      <w:r>
                        <w:rPr>
                          <w:color w:val="3F3F3F"/>
                          <w:spacing w:val="-5"/>
                          <w:sz w:val="17"/>
                        </w:rPr>
                        <w:t> </w:t>
                      </w:r>
                      <w:r>
                        <w:rPr>
                          <w:color w:val="3F3F3F"/>
                          <w:sz w:val="17"/>
                        </w:rPr>
                        <w:t>qu’il</w:t>
                      </w:r>
                      <w:r>
                        <w:rPr>
                          <w:color w:val="3F3F3F"/>
                          <w:spacing w:val="-6"/>
                          <w:sz w:val="17"/>
                        </w:rPr>
                        <w:t> </w:t>
                      </w:r>
                      <w:r>
                        <w:rPr>
                          <w:color w:val="3F3F3F"/>
                          <w:sz w:val="17"/>
                        </w:rPr>
                        <w:t>s’agit</w:t>
                      </w:r>
                      <w:r>
                        <w:rPr>
                          <w:color w:val="3F3F3F"/>
                          <w:spacing w:val="-5"/>
                          <w:sz w:val="17"/>
                        </w:rPr>
                        <w:t> </w:t>
                      </w:r>
                      <w:r>
                        <w:rPr>
                          <w:color w:val="3F3F3F"/>
                          <w:sz w:val="17"/>
                        </w:rPr>
                        <w:t>d’une</w:t>
                      </w:r>
                      <w:r>
                        <w:rPr>
                          <w:color w:val="3F3F3F"/>
                          <w:spacing w:val="-6"/>
                          <w:sz w:val="17"/>
                        </w:rPr>
                        <w:t> </w:t>
                      </w:r>
                      <w:r>
                        <w:rPr>
                          <w:color w:val="3F3F3F"/>
                          <w:sz w:val="17"/>
                        </w:rPr>
                        <w:t>traduction</w:t>
                      </w:r>
                      <w:r>
                        <w:rPr>
                          <w:color w:val="3F3F3F"/>
                          <w:spacing w:val="-5"/>
                          <w:sz w:val="17"/>
                        </w:rPr>
                        <w:t> </w:t>
                      </w:r>
                      <w:r>
                        <w:rPr>
                          <w:color w:val="3F3F3F"/>
                          <w:sz w:val="17"/>
                        </w:rPr>
                        <w:t>automatique</w:t>
                      </w:r>
                      <w:r>
                        <w:rPr>
                          <w:color w:val="3F3F3F"/>
                          <w:spacing w:val="-6"/>
                          <w:sz w:val="17"/>
                        </w:rPr>
                        <w:t> </w:t>
                      </w:r>
                      <w:r>
                        <w:rPr>
                          <w:color w:val="3F3F3F"/>
                          <w:sz w:val="17"/>
                        </w:rPr>
                        <w:t>fournie</w:t>
                      </w:r>
                      <w:r>
                        <w:rPr>
                          <w:color w:val="3F3F3F"/>
                          <w:spacing w:val="-5"/>
                          <w:sz w:val="17"/>
                        </w:rPr>
                        <w:t> </w:t>
                      </w:r>
                      <w:r>
                        <w:rPr>
                          <w:color w:val="3F3F3F"/>
                          <w:sz w:val="17"/>
                        </w:rPr>
                        <w:t>uniquement</w:t>
                      </w:r>
                      <w:r>
                        <w:rPr>
                          <w:color w:val="3F3F3F"/>
                          <w:spacing w:val="-6"/>
                          <w:sz w:val="17"/>
                        </w:rPr>
                        <w:t> </w:t>
                      </w:r>
                      <w:r>
                        <w:rPr>
                          <w:color w:val="3F3F3F"/>
                          <w:sz w:val="17"/>
                        </w:rPr>
                        <w:t>pour</w:t>
                      </w:r>
                      <w:r>
                        <w:rPr>
                          <w:color w:val="3F3F3F"/>
                          <w:spacing w:val="-5"/>
                          <w:sz w:val="17"/>
                        </w:rPr>
                        <w:t> </w:t>
                      </w:r>
                      <w:r>
                        <w:rPr>
                          <w:color w:val="3F3F3F"/>
                          <w:sz w:val="17"/>
                        </w:rPr>
                        <w:t>information.</w:t>
                      </w:r>
                      <w:r>
                        <w:rPr>
                          <w:color w:val="3F3F3F"/>
                          <w:spacing w:val="-6"/>
                          <w:sz w:val="17"/>
                        </w:rPr>
                        <w:t> </w:t>
                      </w:r>
                      <w:r>
                        <w:rPr>
                          <w:color w:val="3F3F3F"/>
                          <w:sz w:val="17"/>
                        </w:rPr>
                        <w:t>Il</w:t>
                      </w:r>
                      <w:r>
                        <w:rPr>
                          <w:color w:val="3F3F3F"/>
                          <w:spacing w:val="-5"/>
                          <w:sz w:val="17"/>
                        </w:rPr>
                        <w:t> </w:t>
                      </w:r>
                      <w:r>
                        <w:rPr>
                          <w:color w:val="3F3F3F"/>
                          <w:sz w:val="17"/>
                        </w:rPr>
                        <w:t>ne</w:t>
                      </w:r>
                      <w:r>
                        <w:rPr>
                          <w:color w:val="3F3F3F"/>
                          <w:spacing w:val="-6"/>
                          <w:sz w:val="17"/>
                        </w:rPr>
                        <w:t> </w:t>
                      </w:r>
                      <w:r>
                        <w:rPr>
                          <w:color w:val="3F3F3F"/>
                          <w:sz w:val="17"/>
                        </w:rPr>
                        <w:t>peut</w:t>
                      </w:r>
                      <w:r>
                        <w:rPr>
                          <w:color w:val="3F3F3F"/>
                          <w:spacing w:val="-5"/>
                          <w:sz w:val="17"/>
                        </w:rPr>
                        <w:t> </w:t>
                      </w:r>
                      <w:r>
                        <w:rPr>
                          <w:color w:val="3F3F3F"/>
                          <w:sz w:val="17"/>
                        </w:rPr>
                        <w:t>être</w:t>
                      </w:r>
                      <w:r>
                        <w:rPr>
                          <w:color w:val="3F3F3F"/>
                          <w:spacing w:val="-6"/>
                          <w:sz w:val="17"/>
                        </w:rPr>
                        <w:t> </w:t>
                      </w:r>
                      <w:r>
                        <w:rPr>
                          <w:color w:val="3F3F3F"/>
                          <w:sz w:val="17"/>
                        </w:rPr>
                        <w:t>garanti</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exacte</w:t>
                      </w:r>
                      <w:r>
                        <w:rPr>
                          <w:color w:val="3F3F3F"/>
                          <w:spacing w:val="-6"/>
                          <w:sz w:val="17"/>
                        </w:rPr>
                        <w:t> </w:t>
                      </w:r>
                      <w:r>
                        <w:rPr>
                          <w:color w:val="3F3F3F"/>
                          <w:sz w:val="17"/>
                        </w:rPr>
                        <w:t>ou</w:t>
                      </w:r>
                      <w:r>
                        <w:rPr>
                          <w:color w:val="3F3F3F"/>
                          <w:spacing w:val="-5"/>
                          <w:sz w:val="17"/>
                        </w:rPr>
                        <w:t> </w:t>
                      </w:r>
                      <w:r>
                        <w:rPr>
                          <w:color w:val="3F3F3F"/>
                          <w:sz w:val="17"/>
                        </w:rPr>
                        <w:t>qu’elle</w:t>
                      </w:r>
                      <w:r>
                        <w:rPr>
                          <w:color w:val="3F3F3F"/>
                          <w:spacing w:val="-6"/>
                          <w:sz w:val="17"/>
                        </w:rPr>
                        <w:t> </w:t>
                      </w:r>
                      <w:r>
                        <w:rPr>
                          <w:color w:val="3F3F3F"/>
                          <w:sz w:val="17"/>
                        </w:rPr>
                        <w:t>est</w:t>
                      </w:r>
                      <w:r>
                        <w:rPr>
                          <w:color w:val="3F3F3F"/>
                          <w:spacing w:val="-5"/>
                          <w:sz w:val="17"/>
                        </w:rPr>
                        <w:t> </w:t>
                      </w:r>
                      <w:r>
                        <w:rPr>
                          <w:color w:val="3F3F3F"/>
                          <w:sz w:val="17"/>
                        </w:rPr>
                        <w:t>adaptée</w:t>
                      </w:r>
                      <w:r>
                        <w:rPr>
                          <w:color w:val="3F3F3F"/>
                          <w:spacing w:val="-6"/>
                          <w:sz w:val="17"/>
                        </w:rPr>
                        <w:t> </w:t>
                      </w:r>
                      <w:r>
                        <w:rPr>
                          <w:color w:val="3F3F3F"/>
                          <w:sz w:val="17"/>
                        </w:rPr>
                        <w:t>aux</w:t>
                      </w:r>
                      <w:r>
                        <w:rPr>
                          <w:color w:val="3F3F3F"/>
                          <w:spacing w:val="-5"/>
                          <w:sz w:val="17"/>
                        </w:rPr>
                        <w:t> </w:t>
                      </w:r>
                      <w:r>
                        <w:rPr>
                          <w:color w:val="3F3F3F"/>
                          <w:sz w:val="17"/>
                        </w:rPr>
                        <w:t>objectifs</w:t>
                      </w:r>
                      <w:r>
                        <w:rPr>
                          <w:color w:val="3F3F3F"/>
                          <w:spacing w:val="-6"/>
                          <w:sz w:val="17"/>
                        </w:rPr>
                        <w:t> </w:t>
                      </w:r>
                      <w:r>
                        <w:rPr>
                          <w:color w:val="3F3F3F"/>
                          <w:sz w:val="17"/>
                        </w:rPr>
                        <w:t>poursuivis.</w:t>
                      </w:r>
                      <w:r>
                        <w:rPr>
                          <w:color w:val="3F3F3F"/>
                          <w:spacing w:val="-5"/>
                          <w:sz w:val="17"/>
                        </w:rPr>
                        <w:t> </w:t>
                      </w:r>
                      <w:r>
                        <w:rPr>
                          <w:color w:val="3F3F3F"/>
                          <w:sz w:val="17"/>
                        </w:rPr>
                        <w:t>[27-06-</w:t>
                      </w:r>
                      <w:r>
                        <w:rPr>
                          <w:color w:val="3F3F3F"/>
                          <w:spacing w:val="-2"/>
                          <w:sz w:val="17"/>
                        </w:rPr>
                        <w:t>2024]</w:t>
                      </w:r>
                    </w:p>
                  </w:txbxContent>
                </v:textbox>
                <w10:wrap type="none"/>
              </v:shape>
            </w:pict>
          </mc:Fallback>
        </mc:AlternateContent>
      </w:r>
    </w:p>
    <w:p w14:paraId="4C49FE3B" w14:textId="77777777" w:rsidR="00310096" w:rsidRDefault="00310096">
      <w:pPr>
        <w:pStyle w:val="Corpsdetexte"/>
        <w:spacing w:before="180"/>
        <w:rPr>
          <w:rFonts w:ascii="Arial"/>
          <w:b/>
        </w:rPr>
      </w:pPr>
    </w:p>
    <w:p w14:paraId="4DAAFE8A" w14:textId="77777777" w:rsidR="00310096" w:rsidRDefault="00000000">
      <w:pPr>
        <w:pStyle w:val="Corpsdetexte"/>
        <w:spacing w:before="1"/>
        <w:ind w:left="165" w:right="157"/>
        <w:jc w:val="both"/>
      </w:pPr>
      <w:r>
        <w:t>Conformément à l’article 67 du RMUE, toute partie peut recourir contre cette décision pour autant</w:t>
      </w:r>
      <w:r>
        <w:rPr>
          <w:spacing w:val="-5"/>
        </w:rPr>
        <w:t xml:space="preserve"> </w:t>
      </w:r>
      <w:r>
        <w:t>que</w:t>
      </w:r>
      <w:r>
        <w:rPr>
          <w:spacing w:val="-2"/>
        </w:rPr>
        <w:t xml:space="preserve"> </w:t>
      </w:r>
      <w:r>
        <w:t>cette</w:t>
      </w:r>
      <w:r>
        <w:rPr>
          <w:spacing w:val="-4"/>
        </w:rPr>
        <w:t xml:space="preserve"> </w:t>
      </w:r>
      <w:r>
        <w:t>dernière</w:t>
      </w:r>
      <w:r>
        <w:rPr>
          <w:spacing w:val="-4"/>
        </w:rPr>
        <w:t xml:space="preserve"> </w:t>
      </w:r>
      <w:r>
        <w:t>n’ait pas</w:t>
      </w:r>
      <w:r>
        <w:rPr>
          <w:spacing w:val="-4"/>
        </w:rPr>
        <w:t xml:space="preserve"> </w:t>
      </w:r>
      <w:r>
        <w:t>fait</w:t>
      </w:r>
      <w:r>
        <w:rPr>
          <w:spacing w:val="-3"/>
        </w:rPr>
        <w:t xml:space="preserve"> </w:t>
      </w:r>
      <w:r>
        <w:t>droit</w:t>
      </w:r>
      <w:r>
        <w:rPr>
          <w:spacing w:val="-3"/>
        </w:rPr>
        <w:t xml:space="preserve"> </w:t>
      </w:r>
      <w:r>
        <w:t>à</w:t>
      </w:r>
      <w:r>
        <w:rPr>
          <w:spacing w:val="-2"/>
        </w:rPr>
        <w:t xml:space="preserve"> </w:t>
      </w:r>
      <w:r>
        <w:t>ses</w:t>
      </w:r>
      <w:r>
        <w:rPr>
          <w:spacing w:val="-4"/>
        </w:rPr>
        <w:t xml:space="preserve"> </w:t>
      </w:r>
      <w:r>
        <w:t>prétentions. Conformément à</w:t>
      </w:r>
      <w:r>
        <w:rPr>
          <w:spacing w:val="-4"/>
        </w:rPr>
        <w:t xml:space="preserve"> </w:t>
      </w:r>
      <w:r>
        <w:t>l’article 68</w:t>
      </w:r>
      <w:r>
        <w:rPr>
          <w:spacing w:val="-2"/>
        </w:rPr>
        <w:t xml:space="preserve"> </w:t>
      </w:r>
      <w:r>
        <w:t>du RMUE, le recours doit être formé par écrit auprès de l’Office dans un délai de deux mois à compter du</w:t>
      </w:r>
      <w:r>
        <w:rPr>
          <w:spacing w:val="-2"/>
        </w:rPr>
        <w:t xml:space="preserve"> </w:t>
      </w:r>
      <w:r>
        <w:t>jour de</w:t>
      </w:r>
      <w:r>
        <w:rPr>
          <w:spacing w:val="-2"/>
        </w:rPr>
        <w:t xml:space="preserve"> </w:t>
      </w:r>
      <w:r>
        <w:t>la notification de la présente</w:t>
      </w:r>
      <w:r>
        <w:rPr>
          <w:spacing w:val="-1"/>
        </w:rPr>
        <w:t xml:space="preserve"> </w:t>
      </w:r>
      <w:r>
        <w:t>décision. L’acte de recours est</w:t>
      </w:r>
      <w:r>
        <w:rPr>
          <w:spacing w:val="-1"/>
        </w:rPr>
        <w:t xml:space="preserve"> </w:t>
      </w:r>
      <w:r>
        <w:t>déposé</w:t>
      </w:r>
      <w:r>
        <w:rPr>
          <w:spacing w:val="-2"/>
        </w:rPr>
        <w:t xml:space="preserve"> </w:t>
      </w:r>
      <w:r>
        <w:t>dans la langue de procédure de la décision attaquée. En outre, un mémoire exposant les motifs</w:t>
      </w:r>
      <w:r>
        <w:rPr>
          <w:spacing w:val="40"/>
        </w:rPr>
        <w:t xml:space="preserve"> </w:t>
      </w:r>
      <w:r>
        <w:t>du recours doit être déposé par écrit dans un délai de quatre mois à compter de cette date. Le recours n’est considéré comme formé qu’après paiement de la taxe de recours d’un montant de 720 EUR.</w:t>
      </w:r>
    </w:p>
    <w:sectPr w:rsidR="00310096">
      <w:pgSz w:w="11910" w:h="16840"/>
      <w:pgMar w:top="1000" w:right="1275" w:bottom="280" w:left="1275"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2887B" w14:textId="77777777" w:rsidR="002171D2" w:rsidRDefault="002171D2">
      <w:r>
        <w:separator/>
      </w:r>
    </w:p>
  </w:endnote>
  <w:endnote w:type="continuationSeparator" w:id="0">
    <w:p w14:paraId="66B31890" w14:textId="77777777" w:rsidR="002171D2" w:rsidRDefault="00217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MT">
    <w:altName w:val="Arial"/>
    <w:panose1 w:val="020B0604020202020204"/>
    <w:charset w:val="01"/>
    <w:family w:val="swiss"/>
    <w:pitch w:val="variable"/>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3B8ED" w14:textId="77777777" w:rsidR="002171D2" w:rsidRDefault="002171D2">
      <w:r>
        <w:separator/>
      </w:r>
    </w:p>
  </w:footnote>
  <w:footnote w:type="continuationSeparator" w:id="0">
    <w:p w14:paraId="0F788A61" w14:textId="77777777" w:rsidR="002171D2" w:rsidRDefault="00217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1135" w14:textId="77777777" w:rsidR="00310096" w:rsidRDefault="00000000">
    <w:pPr>
      <w:pStyle w:val="Corpsdetexte"/>
      <w:spacing w:line="14" w:lineRule="auto"/>
      <w:rPr>
        <w:sz w:val="20"/>
      </w:rPr>
    </w:pPr>
    <w:r>
      <w:rPr>
        <w:noProof/>
        <w:sz w:val="20"/>
      </w:rPr>
      <mc:AlternateContent>
        <mc:Choice Requires="wps">
          <w:drawing>
            <wp:anchor distT="0" distB="0" distL="0" distR="0" simplePos="0" relativeHeight="487242752" behindDoc="1" locked="0" layoutInCell="1" allowOverlap="1" wp14:anchorId="02F82376" wp14:editId="047525EF">
              <wp:simplePos x="0" y="0"/>
              <wp:positionH relativeFrom="page">
                <wp:posOffset>896416</wp:posOffset>
              </wp:positionH>
              <wp:positionV relativeFrom="page">
                <wp:posOffset>629411</wp:posOffset>
              </wp:positionV>
              <wp:extent cx="5769610"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9525"/>
                      </a:xfrm>
                      <a:custGeom>
                        <a:avLst/>
                        <a:gdLst/>
                        <a:ahLst/>
                        <a:cxnLst/>
                        <a:rect l="l" t="t" r="r" b="b"/>
                        <a:pathLst>
                          <a:path w="5769610" h="9525">
                            <a:moveTo>
                              <a:pt x="5769229" y="0"/>
                            </a:moveTo>
                            <a:lnTo>
                              <a:pt x="0" y="0"/>
                            </a:lnTo>
                            <a:lnTo>
                              <a:pt x="0" y="9144"/>
                            </a:lnTo>
                            <a:lnTo>
                              <a:pt x="5769229" y="9144"/>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84pt;margin-top:49.559982pt;width:454.27pt;height:.72pt;mso-position-horizontal-relative:page;mso-position-vertical-relative:page;z-index:-16073728" id="docshape3" filled="true" fillcolor="#585858" stroked="false">
              <v:fill type="solid"/>
              <w10:wrap type="none"/>
            </v:rect>
          </w:pict>
        </mc:Fallback>
      </mc:AlternateContent>
    </w:r>
    <w:r>
      <w:rPr>
        <w:noProof/>
        <w:sz w:val="20"/>
      </w:rPr>
      <mc:AlternateContent>
        <mc:Choice Requires="wps">
          <w:drawing>
            <wp:anchor distT="0" distB="0" distL="0" distR="0" simplePos="0" relativeHeight="487243264" behindDoc="1" locked="0" layoutInCell="1" allowOverlap="1" wp14:anchorId="1D3D00EB" wp14:editId="4858FF98">
              <wp:simplePos x="0" y="0"/>
              <wp:positionH relativeFrom="page">
                <wp:posOffset>902004</wp:posOffset>
              </wp:positionH>
              <wp:positionV relativeFrom="page">
                <wp:posOffset>448637</wp:posOffset>
              </wp:positionV>
              <wp:extent cx="2520950" cy="1822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0" cy="182245"/>
                      </a:xfrm>
                      <a:prstGeom prst="rect">
                        <a:avLst/>
                      </a:prstGeom>
                    </wps:spPr>
                    <wps:txbx>
                      <w:txbxContent>
                        <w:p w14:paraId="5F2497B8" w14:textId="77777777" w:rsidR="00310096" w:rsidRDefault="00000000">
                          <w:pPr>
                            <w:pStyle w:val="Corpsdetexte"/>
                            <w:spacing w:before="13"/>
                            <w:ind w:left="20"/>
                          </w:pPr>
                          <w:r>
                            <w:t>Décision</w:t>
                          </w:r>
                          <w:r>
                            <w:rPr>
                              <w:spacing w:val="-6"/>
                            </w:rPr>
                            <w:t xml:space="preserve"> </w:t>
                          </w:r>
                          <w:r>
                            <w:t>sur</w:t>
                          </w:r>
                          <w:r>
                            <w:rPr>
                              <w:spacing w:val="-3"/>
                            </w:rPr>
                            <w:t xml:space="preserve"> </w:t>
                          </w:r>
                          <w:r>
                            <w:t>l’opposition</w:t>
                          </w:r>
                          <w:r>
                            <w:rPr>
                              <w:spacing w:val="-6"/>
                            </w:rPr>
                            <w:t xml:space="preserve"> </w:t>
                          </w:r>
                          <w:r>
                            <w:t>no</w:t>
                          </w:r>
                          <w:r>
                            <w:rPr>
                              <w:spacing w:val="-4"/>
                            </w:rPr>
                            <w:t xml:space="preserve"> </w:t>
                          </w:r>
                          <w:r>
                            <w:t>B</w:t>
                          </w:r>
                          <w:r>
                            <w:rPr>
                              <w:spacing w:val="-4"/>
                            </w:rPr>
                            <w:t xml:space="preserve"> </w:t>
                          </w:r>
                          <w:r>
                            <w:t>3</w:t>
                          </w:r>
                          <w:r>
                            <w:rPr>
                              <w:spacing w:val="-5"/>
                            </w:rPr>
                            <w:t xml:space="preserve"> </w:t>
                          </w:r>
                          <w:r>
                            <w:t>197</w:t>
                          </w:r>
                          <w:r>
                            <w:rPr>
                              <w:spacing w:val="-3"/>
                            </w:rPr>
                            <w:t xml:space="preserve"> </w:t>
                          </w:r>
                          <w:r>
                            <w:rPr>
                              <w:spacing w:val="-5"/>
                            </w:rPr>
                            <w:t>725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24002pt;margin-top:35.325764pt;width:198.5pt;height:14.35pt;mso-position-horizontal-relative:page;mso-position-vertical-relative:page;z-index:-16073216" type="#_x0000_t202" id="docshape4" filled="false" stroked="false">
              <v:textbox inset="0,0,0,0">
                <w:txbxContent>
                  <w:p>
                    <w:pPr>
                      <w:pStyle w:val="BodyText"/>
                      <w:spacing w:before="13"/>
                      <w:ind w:left="20"/>
                    </w:pPr>
                    <w:r>
                      <w:rPr/>
                      <w:t>Décision</w:t>
                    </w:r>
                    <w:r>
                      <w:rPr>
                        <w:spacing w:val="-6"/>
                      </w:rPr>
                      <w:t> </w:t>
                    </w:r>
                    <w:r>
                      <w:rPr/>
                      <w:t>sur</w:t>
                    </w:r>
                    <w:r>
                      <w:rPr>
                        <w:spacing w:val="-3"/>
                      </w:rPr>
                      <w:t> </w:t>
                    </w:r>
                    <w:r>
                      <w:rPr/>
                      <w:t>l’opposition</w:t>
                    </w:r>
                    <w:r>
                      <w:rPr>
                        <w:spacing w:val="-6"/>
                      </w:rPr>
                      <w:t> </w:t>
                    </w:r>
                    <w:r>
                      <w:rPr/>
                      <w:t>no</w:t>
                    </w:r>
                    <w:r>
                      <w:rPr>
                        <w:spacing w:val="-4"/>
                      </w:rPr>
                      <w:t> </w:t>
                    </w:r>
                    <w:r>
                      <w:rPr/>
                      <w:t>B</w:t>
                    </w:r>
                    <w:r>
                      <w:rPr>
                        <w:spacing w:val="-4"/>
                      </w:rPr>
                      <w:t> </w:t>
                    </w:r>
                    <w:r>
                      <w:rPr/>
                      <w:t>3</w:t>
                    </w:r>
                    <w:r>
                      <w:rPr>
                        <w:spacing w:val="-5"/>
                      </w:rPr>
                      <w:t> </w:t>
                    </w:r>
                    <w:r>
                      <w:rPr/>
                      <w:t>197</w:t>
                    </w:r>
                    <w:r>
                      <w:rPr>
                        <w:spacing w:val="-3"/>
                      </w:rPr>
                      <w:t> </w:t>
                    </w:r>
                    <w:r>
                      <w:rPr>
                        <w:spacing w:val="-5"/>
                      </w:rPr>
                      <w:t>725</w:t>
                    </w:r>
                  </w:p>
                </w:txbxContent>
              </v:textbox>
              <w10:wrap type="none"/>
            </v:shape>
          </w:pict>
        </mc:Fallback>
      </mc:AlternateContent>
    </w:r>
    <w:r>
      <w:rPr>
        <w:noProof/>
        <w:sz w:val="20"/>
      </w:rPr>
      <mc:AlternateContent>
        <mc:Choice Requires="wps">
          <w:drawing>
            <wp:anchor distT="0" distB="0" distL="0" distR="0" simplePos="0" relativeHeight="487243776" behindDoc="1" locked="0" layoutInCell="1" allowOverlap="1" wp14:anchorId="195238B5" wp14:editId="025648AE">
              <wp:simplePos x="0" y="0"/>
              <wp:positionH relativeFrom="page">
                <wp:posOffset>5670041</wp:posOffset>
              </wp:positionH>
              <wp:positionV relativeFrom="page">
                <wp:posOffset>448637</wp:posOffset>
              </wp:positionV>
              <wp:extent cx="975360" cy="182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5B2A7E31" w14:textId="77777777" w:rsidR="00310096" w:rsidRDefault="00000000">
                          <w:pPr>
                            <w:pStyle w:val="Corpsdetexte"/>
                            <w:spacing w:before="13"/>
                            <w:ind w:left="20"/>
                          </w:pPr>
                          <w:r>
                            <w:t>Page</w:t>
                          </w:r>
                          <w:r>
                            <w:rPr>
                              <w:spacing w:val="-5"/>
                            </w:rPr>
                            <w:t xml:space="preserve"> </w:t>
                          </w:r>
                          <w:r>
                            <w:t>sur</w:t>
                          </w:r>
                          <w:r>
                            <w:rPr>
                              <w:spacing w:val="-1"/>
                            </w:rPr>
                            <w:t xml:space="preserve"> </w:t>
                          </w:r>
                          <w:r>
                            <w:fldChar w:fldCharType="begin"/>
                          </w:r>
                          <w:r>
                            <w:instrText xml:space="preserve"> PAGE </w:instrText>
                          </w:r>
                          <w:r>
                            <w:fldChar w:fldCharType="separate"/>
                          </w:r>
                          <w:r>
                            <w:t>10</w:t>
                          </w:r>
                          <w:r>
                            <w:fldChar w:fldCharType="end"/>
                          </w:r>
                          <w:r>
                            <w:t xml:space="preserve"> </w:t>
                          </w:r>
                          <w:r>
                            <w:rPr>
                              <w:spacing w:val="-5"/>
                            </w:rPr>
                            <w:fldChar w:fldCharType="begin"/>
                          </w:r>
                          <w:r>
                            <w:rPr>
                              <w:spacing w:val="-5"/>
                            </w:rPr>
                            <w:instrText xml:space="preserve"> NUMPAGES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459991pt;margin-top:35.325764pt;width:76.8pt;height:14.35pt;mso-position-horizontal-relative:page;mso-position-vertical-relative:page;z-index:-16072704" type="#_x0000_t202" id="docshape5" filled="false" stroked="false">
              <v:textbox inset="0,0,0,0">
                <w:txbxContent>
                  <w:p>
                    <w:pPr>
                      <w:pStyle w:val="BodyText"/>
                      <w:spacing w:before="13"/>
                      <w:ind w:left="20"/>
                    </w:pPr>
                    <w:r>
                      <w:rPr/>
                      <w:t>Page</w:t>
                    </w:r>
                    <w:r>
                      <w:rPr>
                        <w:spacing w:val="-5"/>
                      </w:rPr>
                      <w:t> </w:t>
                    </w:r>
                    <w:r>
                      <w:rPr/>
                      <w:t>sur</w:t>
                    </w:r>
                    <w:r>
                      <w:rPr>
                        <w:spacing w:val="-1"/>
                      </w:rPr>
                      <w:t> </w:t>
                    </w:r>
                    <w:r>
                      <w:rPr/>
                      <w:fldChar w:fldCharType="begin"/>
                    </w:r>
                    <w:r>
                      <w:rPr/>
                      <w:instrText> PAGE </w:instrText>
                    </w:r>
                    <w:r>
                      <w:rPr/>
                      <w:fldChar w:fldCharType="separate"/>
                    </w:r>
                    <w:r>
                      <w:rPr/>
                      <w:t>10</w:t>
                    </w:r>
                    <w:r>
                      <w:rPr/>
                      <w:fldChar w:fldCharType="end"/>
                    </w:r>
                    <w:r>
                      <w:rPr/>
                      <w:t> </w:t>
                    </w:r>
                    <w:r>
                      <w:rPr>
                        <w:spacing w:val="-5"/>
                      </w:rPr>
                      <w:fldChar w:fldCharType="begin"/>
                    </w:r>
                    <w:r>
                      <w:rPr>
                        <w:spacing w:val="-5"/>
                      </w:rPr>
                      <w:instrText> NUMPAGES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500CE5"/>
    <w:multiLevelType w:val="hybridMultilevel"/>
    <w:tmpl w:val="B3A69B3C"/>
    <w:lvl w:ilvl="0" w:tplc="DF229710">
      <w:start w:val="1"/>
      <w:numFmt w:val="lowerLetter"/>
      <w:lvlText w:val="%1)"/>
      <w:lvlJc w:val="left"/>
      <w:pPr>
        <w:ind w:left="424" w:hanging="260"/>
        <w:jc w:val="left"/>
      </w:pPr>
      <w:rPr>
        <w:rFonts w:ascii="Arial" w:eastAsia="Arial" w:hAnsi="Arial" w:cs="Arial" w:hint="default"/>
        <w:b/>
        <w:bCs/>
        <w:i w:val="0"/>
        <w:iCs w:val="0"/>
        <w:spacing w:val="0"/>
        <w:w w:val="100"/>
        <w:sz w:val="22"/>
        <w:szCs w:val="22"/>
        <w:lang w:val="fr-FR" w:eastAsia="en-US" w:bidi="ar-SA"/>
      </w:rPr>
    </w:lvl>
    <w:lvl w:ilvl="1" w:tplc="B5E8346C">
      <w:numFmt w:val="bullet"/>
      <w:lvlText w:val="•"/>
      <w:lvlJc w:val="left"/>
      <w:pPr>
        <w:ind w:left="1313" w:hanging="260"/>
      </w:pPr>
      <w:rPr>
        <w:rFonts w:hint="default"/>
        <w:lang w:val="fr-FR" w:eastAsia="en-US" w:bidi="ar-SA"/>
      </w:rPr>
    </w:lvl>
    <w:lvl w:ilvl="2" w:tplc="7E40C934">
      <w:numFmt w:val="bullet"/>
      <w:lvlText w:val="•"/>
      <w:lvlJc w:val="left"/>
      <w:pPr>
        <w:ind w:left="2207" w:hanging="260"/>
      </w:pPr>
      <w:rPr>
        <w:rFonts w:hint="default"/>
        <w:lang w:val="fr-FR" w:eastAsia="en-US" w:bidi="ar-SA"/>
      </w:rPr>
    </w:lvl>
    <w:lvl w:ilvl="3" w:tplc="77ECFFDE">
      <w:numFmt w:val="bullet"/>
      <w:lvlText w:val="•"/>
      <w:lvlJc w:val="left"/>
      <w:pPr>
        <w:ind w:left="3100" w:hanging="260"/>
      </w:pPr>
      <w:rPr>
        <w:rFonts w:hint="default"/>
        <w:lang w:val="fr-FR" w:eastAsia="en-US" w:bidi="ar-SA"/>
      </w:rPr>
    </w:lvl>
    <w:lvl w:ilvl="4" w:tplc="8306E24E">
      <w:numFmt w:val="bullet"/>
      <w:lvlText w:val="•"/>
      <w:lvlJc w:val="left"/>
      <w:pPr>
        <w:ind w:left="3994" w:hanging="260"/>
      </w:pPr>
      <w:rPr>
        <w:rFonts w:hint="default"/>
        <w:lang w:val="fr-FR" w:eastAsia="en-US" w:bidi="ar-SA"/>
      </w:rPr>
    </w:lvl>
    <w:lvl w:ilvl="5" w:tplc="5EA43AB2">
      <w:numFmt w:val="bullet"/>
      <w:lvlText w:val="•"/>
      <w:lvlJc w:val="left"/>
      <w:pPr>
        <w:ind w:left="4888" w:hanging="260"/>
      </w:pPr>
      <w:rPr>
        <w:rFonts w:hint="default"/>
        <w:lang w:val="fr-FR" w:eastAsia="en-US" w:bidi="ar-SA"/>
      </w:rPr>
    </w:lvl>
    <w:lvl w:ilvl="6" w:tplc="2E361BC6">
      <w:numFmt w:val="bullet"/>
      <w:lvlText w:val="•"/>
      <w:lvlJc w:val="left"/>
      <w:pPr>
        <w:ind w:left="5781" w:hanging="260"/>
      </w:pPr>
      <w:rPr>
        <w:rFonts w:hint="default"/>
        <w:lang w:val="fr-FR" w:eastAsia="en-US" w:bidi="ar-SA"/>
      </w:rPr>
    </w:lvl>
    <w:lvl w:ilvl="7" w:tplc="D3CA81B6">
      <w:numFmt w:val="bullet"/>
      <w:lvlText w:val="•"/>
      <w:lvlJc w:val="left"/>
      <w:pPr>
        <w:ind w:left="6675" w:hanging="260"/>
      </w:pPr>
      <w:rPr>
        <w:rFonts w:hint="default"/>
        <w:lang w:val="fr-FR" w:eastAsia="en-US" w:bidi="ar-SA"/>
      </w:rPr>
    </w:lvl>
    <w:lvl w:ilvl="8" w:tplc="9DAEBEEC">
      <w:numFmt w:val="bullet"/>
      <w:lvlText w:val="•"/>
      <w:lvlJc w:val="left"/>
      <w:pPr>
        <w:ind w:left="7569" w:hanging="260"/>
      </w:pPr>
      <w:rPr>
        <w:rFonts w:hint="default"/>
        <w:lang w:val="fr-FR" w:eastAsia="en-US" w:bidi="ar-SA"/>
      </w:rPr>
    </w:lvl>
  </w:abstractNum>
  <w:abstractNum w:abstractNumId="1" w15:restartNumberingAfterBreak="0">
    <w:nsid w:val="3B6F5ACE"/>
    <w:multiLevelType w:val="hybridMultilevel"/>
    <w:tmpl w:val="D0C82ECA"/>
    <w:lvl w:ilvl="0" w:tplc="59DA576E">
      <w:numFmt w:val="bullet"/>
      <w:lvlText w:val="o"/>
      <w:lvlJc w:val="left"/>
      <w:pPr>
        <w:ind w:left="1125" w:hanging="360"/>
      </w:pPr>
      <w:rPr>
        <w:rFonts w:ascii="Courier New" w:eastAsia="Courier New" w:hAnsi="Courier New" w:cs="Courier New" w:hint="default"/>
        <w:b w:val="0"/>
        <w:bCs w:val="0"/>
        <w:i w:val="0"/>
        <w:iCs w:val="0"/>
        <w:spacing w:val="0"/>
        <w:w w:val="100"/>
        <w:sz w:val="22"/>
        <w:szCs w:val="22"/>
        <w:lang w:val="fr-FR" w:eastAsia="en-US" w:bidi="ar-SA"/>
      </w:rPr>
    </w:lvl>
    <w:lvl w:ilvl="1" w:tplc="887EAC5A">
      <w:numFmt w:val="bullet"/>
      <w:lvlText w:val="•"/>
      <w:lvlJc w:val="left"/>
      <w:pPr>
        <w:ind w:left="1943" w:hanging="360"/>
      </w:pPr>
      <w:rPr>
        <w:rFonts w:hint="default"/>
        <w:lang w:val="fr-FR" w:eastAsia="en-US" w:bidi="ar-SA"/>
      </w:rPr>
    </w:lvl>
    <w:lvl w:ilvl="2" w:tplc="6F4E8B8C">
      <w:numFmt w:val="bullet"/>
      <w:lvlText w:val="•"/>
      <w:lvlJc w:val="left"/>
      <w:pPr>
        <w:ind w:left="2767" w:hanging="360"/>
      </w:pPr>
      <w:rPr>
        <w:rFonts w:hint="default"/>
        <w:lang w:val="fr-FR" w:eastAsia="en-US" w:bidi="ar-SA"/>
      </w:rPr>
    </w:lvl>
    <w:lvl w:ilvl="3" w:tplc="F0F6C51A">
      <w:numFmt w:val="bullet"/>
      <w:lvlText w:val="•"/>
      <w:lvlJc w:val="left"/>
      <w:pPr>
        <w:ind w:left="3590" w:hanging="360"/>
      </w:pPr>
      <w:rPr>
        <w:rFonts w:hint="default"/>
        <w:lang w:val="fr-FR" w:eastAsia="en-US" w:bidi="ar-SA"/>
      </w:rPr>
    </w:lvl>
    <w:lvl w:ilvl="4" w:tplc="E932BDA4">
      <w:numFmt w:val="bullet"/>
      <w:lvlText w:val="•"/>
      <w:lvlJc w:val="left"/>
      <w:pPr>
        <w:ind w:left="4414" w:hanging="360"/>
      </w:pPr>
      <w:rPr>
        <w:rFonts w:hint="default"/>
        <w:lang w:val="fr-FR" w:eastAsia="en-US" w:bidi="ar-SA"/>
      </w:rPr>
    </w:lvl>
    <w:lvl w:ilvl="5" w:tplc="E228A64E">
      <w:numFmt w:val="bullet"/>
      <w:lvlText w:val="•"/>
      <w:lvlJc w:val="left"/>
      <w:pPr>
        <w:ind w:left="5238" w:hanging="360"/>
      </w:pPr>
      <w:rPr>
        <w:rFonts w:hint="default"/>
        <w:lang w:val="fr-FR" w:eastAsia="en-US" w:bidi="ar-SA"/>
      </w:rPr>
    </w:lvl>
    <w:lvl w:ilvl="6" w:tplc="7A825352">
      <w:numFmt w:val="bullet"/>
      <w:lvlText w:val="•"/>
      <w:lvlJc w:val="left"/>
      <w:pPr>
        <w:ind w:left="6061" w:hanging="360"/>
      </w:pPr>
      <w:rPr>
        <w:rFonts w:hint="default"/>
        <w:lang w:val="fr-FR" w:eastAsia="en-US" w:bidi="ar-SA"/>
      </w:rPr>
    </w:lvl>
    <w:lvl w:ilvl="7" w:tplc="C29C68DC">
      <w:numFmt w:val="bullet"/>
      <w:lvlText w:val="•"/>
      <w:lvlJc w:val="left"/>
      <w:pPr>
        <w:ind w:left="6885" w:hanging="360"/>
      </w:pPr>
      <w:rPr>
        <w:rFonts w:hint="default"/>
        <w:lang w:val="fr-FR" w:eastAsia="en-US" w:bidi="ar-SA"/>
      </w:rPr>
    </w:lvl>
    <w:lvl w:ilvl="8" w:tplc="20360F98">
      <w:numFmt w:val="bullet"/>
      <w:lvlText w:val="•"/>
      <w:lvlJc w:val="left"/>
      <w:pPr>
        <w:ind w:left="7709" w:hanging="360"/>
      </w:pPr>
      <w:rPr>
        <w:rFonts w:hint="default"/>
        <w:lang w:val="fr-FR" w:eastAsia="en-US" w:bidi="ar-SA"/>
      </w:rPr>
    </w:lvl>
  </w:abstractNum>
  <w:abstractNum w:abstractNumId="2" w15:restartNumberingAfterBreak="0">
    <w:nsid w:val="6B9E48C0"/>
    <w:multiLevelType w:val="hybridMultilevel"/>
    <w:tmpl w:val="6B82BECE"/>
    <w:lvl w:ilvl="0" w:tplc="5952190A">
      <w:numFmt w:val="bullet"/>
      <w:lvlText w:val="—"/>
      <w:lvlJc w:val="left"/>
      <w:pPr>
        <w:ind w:left="885" w:hanging="360"/>
      </w:pPr>
      <w:rPr>
        <w:rFonts w:ascii="Arial MT" w:eastAsia="Arial MT" w:hAnsi="Arial MT" w:cs="Arial MT" w:hint="default"/>
        <w:b w:val="0"/>
        <w:bCs w:val="0"/>
        <w:i w:val="0"/>
        <w:iCs w:val="0"/>
        <w:spacing w:val="0"/>
        <w:w w:val="100"/>
        <w:sz w:val="22"/>
        <w:szCs w:val="22"/>
        <w:lang w:val="fr-FR" w:eastAsia="en-US" w:bidi="ar-SA"/>
      </w:rPr>
    </w:lvl>
    <w:lvl w:ilvl="1" w:tplc="04D2619A">
      <w:numFmt w:val="bullet"/>
      <w:lvlText w:val="•"/>
      <w:lvlJc w:val="left"/>
      <w:pPr>
        <w:ind w:left="1727" w:hanging="360"/>
      </w:pPr>
      <w:rPr>
        <w:rFonts w:hint="default"/>
        <w:lang w:val="fr-FR" w:eastAsia="en-US" w:bidi="ar-SA"/>
      </w:rPr>
    </w:lvl>
    <w:lvl w:ilvl="2" w:tplc="CD4A1CA4">
      <w:numFmt w:val="bullet"/>
      <w:lvlText w:val="•"/>
      <w:lvlJc w:val="left"/>
      <w:pPr>
        <w:ind w:left="2575" w:hanging="360"/>
      </w:pPr>
      <w:rPr>
        <w:rFonts w:hint="default"/>
        <w:lang w:val="fr-FR" w:eastAsia="en-US" w:bidi="ar-SA"/>
      </w:rPr>
    </w:lvl>
    <w:lvl w:ilvl="3" w:tplc="2222C50C">
      <w:numFmt w:val="bullet"/>
      <w:lvlText w:val="•"/>
      <w:lvlJc w:val="left"/>
      <w:pPr>
        <w:ind w:left="3422" w:hanging="360"/>
      </w:pPr>
      <w:rPr>
        <w:rFonts w:hint="default"/>
        <w:lang w:val="fr-FR" w:eastAsia="en-US" w:bidi="ar-SA"/>
      </w:rPr>
    </w:lvl>
    <w:lvl w:ilvl="4" w:tplc="EE12DFA4">
      <w:numFmt w:val="bullet"/>
      <w:lvlText w:val="•"/>
      <w:lvlJc w:val="left"/>
      <w:pPr>
        <w:ind w:left="4270" w:hanging="360"/>
      </w:pPr>
      <w:rPr>
        <w:rFonts w:hint="default"/>
        <w:lang w:val="fr-FR" w:eastAsia="en-US" w:bidi="ar-SA"/>
      </w:rPr>
    </w:lvl>
    <w:lvl w:ilvl="5" w:tplc="3F283692">
      <w:numFmt w:val="bullet"/>
      <w:lvlText w:val="•"/>
      <w:lvlJc w:val="left"/>
      <w:pPr>
        <w:ind w:left="5118" w:hanging="360"/>
      </w:pPr>
      <w:rPr>
        <w:rFonts w:hint="default"/>
        <w:lang w:val="fr-FR" w:eastAsia="en-US" w:bidi="ar-SA"/>
      </w:rPr>
    </w:lvl>
    <w:lvl w:ilvl="6" w:tplc="D46CB390">
      <w:numFmt w:val="bullet"/>
      <w:lvlText w:val="•"/>
      <w:lvlJc w:val="left"/>
      <w:pPr>
        <w:ind w:left="5965" w:hanging="360"/>
      </w:pPr>
      <w:rPr>
        <w:rFonts w:hint="default"/>
        <w:lang w:val="fr-FR" w:eastAsia="en-US" w:bidi="ar-SA"/>
      </w:rPr>
    </w:lvl>
    <w:lvl w:ilvl="7" w:tplc="5282B6F4">
      <w:numFmt w:val="bullet"/>
      <w:lvlText w:val="•"/>
      <w:lvlJc w:val="left"/>
      <w:pPr>
        <w:ind w:left="6813" w:hanging="360"/>
      </w:pPr>
      <w:rPr>
        <w:rFonts w:hint="default"/>
        <w:lang w:val="fr-FR" w:eastAsia="en-US" w:bidi="ar-SA"/>
      </w:rPr>
    </w:lvl>
    <w:lvl w:ilvl="8" w:tplc="48765F4E">
      <w:numFmt w:val="bullet"/>
      <w:lvlText w:val="•"/>
      <w:lvlJc w:val="left"/>
      <w:pPr>
        <w:ind w:left="7661" w:hanging="360"/>
      </w:pPr>
      <w:rPr>
        <w:rFonts w:hint="default"/>
        <w:lang w:val="fr-FR" w:eastAsia="en-US" w:bidi="ar-SA"/>
      </w:rPr>
    </w:lvl>
  </w:abstractNum>
  <w:num w:numId="1" w16cid:durableId="845052125">
    <w:abstractNumId w:val="2"/>
  </w:num>
  <w:num w:numId="2" w16cid:durableId="389118108">
    <w:abstractNumId w:val="1"/>
  </w:num>
  <w:num w:numId="3" w16cid:durableId="482745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10096"/>
    <w:rsid w:val="002133FC"/>
    <w:rsid w:val="002171D2"/>
    <w:rsid w:val="00310096"/>
    <w:rsid w:val="00607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21A729E"/>
  <w15:docId w15:val="{2A50F803-A7D7-8240-ADFA-FE95FC89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ind w:left="165"/>
      <w:jc w:val="center"/>
      <w:outlineLvl w:val="0"/>
    </w:pPr>
    <w:rPr>
      <w:rFonts w:ascii="Arial" w:eastAsia="Arial" w:hAnsi="Arial" w:cs="Arial"/>
      <w:b/>
      <w:bCs/>
    </w:rPr>
  </w:style>
  <w:style w:type="paragraph" w:styleId="Titre2">
    <w:name w:val="heading 2"/>
    <w:basedOn w:val="Normal"/>
    <w:uiPriority w:val="9"/>
    <w:unhideWhenUsed/>
    <w:qFormat/>
    <w:pPr>
      <w:ind w:left="165"/>
      <w:outlineLvl w:val="1"/>
    </w:pPr>
    <w:rPr>
      <w:rFonts w:ascii="Arial" w:eastAsia="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885"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image" Target="media/image300.jpeg"/><Relationship Id="rId68" Type="http://schemas.openxmlformats.org/officeDocument/2006/relationships/image" Target="media/image35.jpeg"/><Relationship Id="rId84" Type="http://schemas.openxmlformats.org/officeDocument/2006/relationships/image" Target="media/image44.jpeg"/><Relationship Id="rId89" Type="http://schemas.openxmlformats.org/officeDocument/2006/relationships/image" Target="media/image450.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140.jpeg"/><Relationship Id="rId37" Type="http://schemas.openxmlformats.org/officeDocument/2006/relationships/image" Target="media/image16.jpeg"/><Relationship Id="rId53" Type="http://schemas.openxmlformats.org/officeDocument/2006/relationships/image" Target="media/image230.jpeg"/><Relationship Id="rId58" Type="http://schemas.openxmlformats.org/officeDocument/2006/relationships/image" Target="media/image280.jpeg"/><Relationship Id="rId74" Type="http://schemas.openxmlformats.org/officeDocument/2006/relationships/image" Target="media/image360.jpeg"/><Relationship Id="rId79" Type="http://schemas.openxmlformats.org/officeDocument/2006/relationships/image" Target="media/image41.jpeg"/><Relationship Id="rId5" Type="http://schemas.openxmlformats.org/officeDocument/2006/relationships/footnotes" Target="footnotes.xml"/><Relationship Id="rId90" Type="http://schemas.openxmlformats.org/officeDocument/2006/relationships/image" Target="media/image460.jpeg"/><Relationship Id="rId95" Type="http://schemas.openxmlformats.org/officeDocument/2006/relationships/fontTable" Target="fontTable.xml"/><Relationship Id="rId22" Type="http://schemas.openxmlformats.org/officeDocument/2006/relationships/image" Target="media/image410.jpeg"/><Relationship Id="rId27" Type="http://schemas.openxmlformats.org/officeDocument/2006/relationships/image" Target="media/image90.jpeg"/><Relationship Id="rId43" Type="http://schemas.openxmlformats.org/officeDocument/2006/relationships/hyperlink" Target="http://www.icon-icon.com/" TargetMode="External"/><Relationship Id="rId48" Type="http://schemas.openxmlformats.org/officeDocument/2006/relationships/image" Target="media/image25.jpeg"/><Relationship Id="rId64" Type="http://schemas.openxmlformats.org/officeDocument/2006/relationships/image" Target="media/image310.jpeg"/><Relationship Id="rId69"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image" Target="media/image340.jpeg"/><Relationship Id="rId80" Type="http://schemas.openxmlformats.org/officeDocument/2006/relationships/image" Target="media/image42.jpeg"/><Relationship Id="rId85" Type="http://schemas.openxmlformats.org/officeDocument/2006/relationships/image" Target="media/image45.jpeg"/><Relationship Id="rId93"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70.jpeg"/><Relationship Id="rId33" Type="http://schemas.openxmlformats.org/officeDocument/2006/relationships/hyperlink" Target="http://www.rankingthebrands.com/" TargetMode="Externa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hyperlink" Target="http://www.fashionista.com/" TargetMode="External"/><Relationship Id="rId54" Type="http://schemas.openxmlformats.org/officeDocument/2006/relationships/image" Target="media/image240.jpeg"/><Relationship Id="rId62" Type="http://schemas.openxmlformats.org/officeDocument/2006/relationships/image" Target="media/image290.jpeg"/><Relationship Id="rId70" Type="http://schemas.openxmlformats.org/officeDocument/2006/relationships/image" Target="media/image37.jpeg"/><Relationship Id="rId75" Type="http://schemas.openxmlformats.org/officeDocument/2006/relationships/image" Target="media/image370.jpeg"/><Relationship Id="rId83" Type="http://schemas.openxmlformats.org/officeDocument/2006/relationships/image" Target="media/image43.jpeg"/><Relationship Id="rId88" Type="http://schemas.openxmlformats.org/officeDocument/2006/relationships/image" Target="media/image440.jpeg"/><Relationship Id="rId91" Type="http://schemas.openxmlformats.org/officeDocument/2006/relationships/image" Target="media/image47.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51.jpeg"/><Relationship Id="rId28" Type="http://schemas.openxmlformats.org/officeDocument/2006/relationships/image" Target="media/image100.jpeg"/><Relationship Id="rId36" Type="http://schemas.openxmlformats.org/officeDocument/2006/relationships/hyperlink" Target="http://www.businessoffashion.com/" TargetMode="External"/><Relationship Id="rId49" Type="http://schemas.openxmlformats.org/officeDocument/2006/relationships/image" Target="media/image26.jpeg"/><Relationship Id="rId57" Type="http://schemas.openxmlformats.org/officeDocument/2006/relationships/image" Target="media/image270.jpeg"/><Relationship Id="rId10" Type="http://schemas.openxmlformats.org/officeDocument/2006/relationships/header" Target="header1.xml"/><Relationship Id="rId31" Type="http://schemas.openxmlformats.org/officeDocument/2006/relationships/image" Target="media/image130.jpeg"/><Relationship Id="rId44" Type="http://schemas.openxmlformats.org/officeDocument/2006/relationships/image" Target="media/image21.jpeg"/><Relationship Id="rId52" Type="http://schemas.openxmlformats.org/officeDocument/2006/relationships/image" Target="media/image220.jpeg"/><Relationship Id="rId60" Type="http://schemas.openxmlformats.org/officeDocument/2006/relationships/image" Target="media/image30.jpeg"/><Relationship Id="rId65" Type="http://schemas.openxmlformats.org/officeDocument/2006/relationships/image" Target="media/image32.jpeg"/><Relationship Id="rId73" Type="http://schemas.openxmlformats.org/officeDocument/2006/relationships/image" Target="media/image350.jpeg"/><Relationship Id="rId78" Type="http://schemas.openxmlformats.org/officeDocument/2006/relationships/image" Target="media/image40.jpeg"/><Relationship Id="rId81" Type="http://schemas.openxmlformats.org/officeDocument/2006/relationships/image" Target="media/image411.jpeg"/><Relationship Id="rId86" Type="http://schemas.openxmlformats.org/officeDocument/2006/relationships/image" Target="media/image46.jpeg"/><Relationship Id="rId94"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8.jpeg"/><Relationship Id="rId34" Type="http://schemas.openxmlformats.org/officeDocument/2006/relationships/hyperlink" Target="http://www.businessinsider.fr/" TargetMode="External"/><Relationship Id="rId50" Type="http://schemas.openxmlformats.org/officeDocument/2006/relationships/image" Target="media/image27.jpeg"/><Relationship Id="rId55" Type="http://schemas.openxmlformats.org/officeDocument/2006/relationships/image" Target="media/image250.jpeg"/><Relationship Id="rId76" Type="http://schemas.openxmlformats.org/officeDocument/2006/relationships/image" Target="media/image38.jpeg"/><Relationship Id="rId7" Type="http://schemas.openxmlformats.org/officeDocument/2006/relationships/image" Target="media/image1.png"/><Relationship Id="rId71" Type="http://schemas.openxmlformats.org/officeDocument/2006/relationships/image" Target="media/image330.jpeg"/><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10.jpeg"/><Relationship Id="rId24" Type="http://schemas.openxmlformats.org/officeDocument/2006/relationships/image" Target="media/image60.jpeg"/><Relationship Id="rId40" Type="http://schemas.openxmlformats.org/officeDocument/2006/relationships/image" Target="media/image19.jpeg"/><Relationship Id="rId45" Type="http://schemas.openxmlformats.org/officeDocument/2006/relationships/image" Target="media/image22.jpeg"/><Relationship Id="rId66" Type="http://schemas.openxmlformats.org/officeDocument/2006/relationships/image" Target="media/image33.jpeg"/><Relationship Id="rId87" Type="http://schemas.openxmlformats.org/officeDocument/2006/relationships/image" Target="media/image430.jpeg"/><Relationship Id="rId61" Type="http://schemas.openxmlformats.org/officeDocument/2006/relationships/image" Target="media/image31.jpeg"/><Relationship Id="rId82" Type="http://schemas.openxmlformats.org/officeDocument/2006/relationships/image" Target="media/image42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20.jpeg"/><Relationship Id="rId35" Type="http://schemas.openxmlformats.org/officeDocument/2006/relationships/image" Target="media/image15.jpeg"/><Relationship Id="rId56" Type="http://schemas.openxmlformats.org/officeDocument/2006/relationships/image" Target="media/image260.jpeg"/><Relationship Id="rId77"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8328</Words>
  <Characters>45805</Characters>
  <Application>Microsoft Office Word</Application>
  <DocSecurity>0</DocSecurity>
  <Lines>381</Lines>
  <Paragraphs>108</Paragraphs>
  <ScaleCrop>false</ScaleCrop>
  <Company/>
  <LinksUpToDate>false</LinksUpToDate>
  <CharactersWithSpaces>54025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B3197725-EN-OS OLIVIA SANCHEZ.docx</dc:title>
  <cp:lastModifiedBy>Me Julie CURTO</cp:lastModifiedBy>
  <cp:revision>2</cp:revision>
  <dcterms:created xsi:type="dcterms:W3CDTF">2024-12-26T15:42:00Z</dcterms:created>
  <dcterms:modified xsi:type="dcterms:W3CDTF">2024-12-26T15:42:00Z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Microsoft® Word 2019</vt:lpwstr>
  </property>
  <property fmtid="{D5CDD505-2E9C-101B-9397-08002B2CF9AE}" pid="4" name="LastSaved">
    <vt:filetime>2024-12-26T00:00:00Z</vt:filetime>
  </property>
  <property fmtid="{D5CDD505-2E9C-101B-9397-08002B2CF9AE}" pid="5" name="Producer">
    <vt:lpwstr>Microsoft® Word 2019; modified using iText® 5.4.4 ©2000-2013 1T3XT BVBA (AGPL-version)</vt:lpwstr>
  </property>
</Properties>
</file>